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F1" w:rsidRPr="00A95A34" w:rsidRDefault="009164F1" w:rsidP="00A95A34">
      <w:pPr>
        <w:spacing w:after="0" w:line="240" w:lineRule="auto"/>
        <w:jc w:val="center"/>
        <w:rPr>
          <w:b/>
          <w:bCs/>
          <w:color w:val="auto"/>
        </w:rPr>
      </w:pPr>
      <w:r w:rsidRPr="00A95A34">
        <w:rPr>
          <w:b/>
          <w:bCs/>
          <w:color w:val="auto"/>
        </w:rPr>
        <w:t>MINUTES NCAC-02 ANNUAL BUSINESS MEETING</w:t>
      </w:r>
    </w:p>
    <w:p w:rsidR="009164F1" w:rsidRPr="00A95A34" w:rsidRDefault="009164F1" w:rsidP="00A95A34">
      <w:pPr>
        <w:spacing w:after="0" w:line="240" w:lineRule="auto"/>
        <w:rPr>
          <w:bCs/>
          <w:color w:val="auto"/>
        </w:rPr>
      </w:pPr>
    </w:p>
    <w:p w:rsidR="009164F1" w:rsidRPr="00A95A34" w:rsidRDefault="009164F1" w:rsidP="00A95A34">
      <w:pPr>
        <w:spacing w:after="0" w:line="240" w:lineRule="auto"/>
        <w:rPr>
          <w:b/>
          <w:bCs/>
          <w:color w:val="auto"/>
          <w:u w:val="single"/>
        </w:rPr>
      </w:pPr>
      <w:r w:rsidRPr="00A95A34">
        <w:rPr>
          <w:b/>
          <w:bCs/>
          <w:color w:val="auto"/>
          <w:u w:val="single"/>
        </w:rPr>
        <w:t>March 10, 2017 (07:00-08:00 AM) – Omni Shoreham Hotel, Washington DC</w:t>
      </w:r>
    </w:p>
    <w:p w:rsidR="009164F1" w:rsidRPr="00A95A34" w:rsidRDefault="009164F1" w:rsidP="00A95A34">
      <w:pPr>
        <w:spacing w:after="0" w:line="240" w:lineRule="auto"/>
        <w:rPr>
          <w:bCs/>
          <w:color w:val="auto"/>
        </w:rPr>
      </w:pPr>
    </w:p>
    <w:p w:rsidR="009164F1" w:rsidRPr="00A95A34" w:rsidRDefault="009164F1" w:rsidP="00A95A34">
      <w:pPr>
        <w:spacing w:after="0" w:line="240" w:lineRule="auto"/>
        <w:rPr>
          <w:b/>
          <w:bCs/>
          <w:color w:val="auto"/>
          <w:u w:val="single"/>
        </w:rPr>
      </w:pPr>
      <w:r w:rsidRPr="00A95A34">
        <w:rPr>
          <w:b/>
          <w:bCs/>
          <w:color w:val="auto"/>
          <w:u w:val="single"/>
        </w:rPr>
        <w:t>Present:</w:t>
      </w:r>
    </w:p>
    <w:p w:rsidR="009164F1" w:rsidRPr="00A95A34" w:rsidRDefault="009164F1" w:rsidP="00A95A34">
      <w:pPr>
        <w:spacing w:after="0" w:line="240" w:lineRule="auto"/>
        <w:rPr>
          <w:b/>
          <w:bCs/>
          <w:color w:val="auto"/>
          <w:u w:val="single"/>
        </w:rPr>
      </w:pPr>
    </w:p>
    <w:p w:rsidR="009164F1" w:rsidRPr="00A95A34" w:rsidRDefault="009164F1" w:rsidP="00A95A34">
      <w:pPr>
        <w:spacing w:after="0" w:line="240" w:lineRule="auto"/>
        <w:rPr>
          <w:color w:val="auto"/>
        </w:rPr>
      </w:pPr>
      <w:r w:rsidRPr="00A95A34">
        <w:rPr>
          <w:color w:val="auto"/>
        </w:rPr>
        <w:t>Dale Bjorling (Wisconsin)</w:t>
      </w:r>
    </w:p>
    <w:p w:rsidR="009164F1" w:rsidRPr="00A95A34" w:rsidRDefault="009164F1" w:rsidP="00A95A34">
      <w:pPr>
        <w:spacing w:after="0" w:line="240" w:lineRule="auto"/>
        <w:rPr>
          <w:color w:val="auto"/>
        </w:rPr>
      </w:pPr>
      <w:r w:rsidRPr="00A95A34">
        <w:rPr>
          <w:color w:val="auto"/>
        </w:rPr>
        <w:t>Frank Blecha (Kansas)</w:t>
      </w:r>
    </w:p>
    <w:p w:rsidR="009164F1" w:rsidRPr="00A95A34" w:rsidRDefault="009164F1" w:rsidP="00A95A34">
      <w:pPr>
        <w:spacing w:after="0" w:line="240" w:lineRule="auto"/>
        <w:rPr>
          <w:color w:val="auto"/>
        </w:rPr>
      </w:pPr>
      <w:r w:rsidRPr="00A95A34">
        <w:rPr>
          <w:color w:val="auto"/>
        </w:rPr>
        <w:t>Shawn Donkin (Purdue)</w:t>
      </w:r>
    </w:p>
    <w:p w:rsidR="009164F1" w:rsidRPr="00A95A34" w:rsidRDefault="009164F1" w:rsidP="00A95A34">
      <w:pPr>
        <w:spacing w:after="0" w:line="240" w:lineRule="auto"/>
        <w:rPr>
          <w:color w:val="auto"/>
        </w:rPr>
      </w:pPr>
      <w:r w:rsidRPr="00A95A34">
        <w:rPr>
          <w:color w:val="auto"/>
        </w:rPr>
        <w:t>Harm HogenEsch (Purdue)</w:t>
      </w:r>
    </w:p>
    <w:p w:rsidR="009164F1" w:rsidRPr="00A95A34" w:rsidRDefault="009164F1" w:rsidP="00A95A34">
      <w:pPr>
        <w:spacing w:after="0" w:line="240" w:lineRule="auto"/>
        <w:rPr>
          <w:color w:val="auto"/>
        </w:rPr>
      </w:pPr>
      <w:r w:rsidRPr="00A95A34">
        <w:rPr>
          <w:color w:val="auto"/>
        </w:rPr>
        <w:t>Lois Hoyer (Illinois)</w:t>
      </w:r>
    </w:p>
    <w:p w:rsidR="009164F1" w:rsidRPr="00A95A34" w:rsidRDefault="009164F1" w:rsidP="00A95A34">
      <w:pPr>
        <w:spacing w:after="0" w:line="240" w:lineRule="auto"/>
        <w:rPr>
          <w:color w:val="auto"/>
        </w:rPr>
      </w:pPr>
      <w:r w:rsidRPr="00A95A34">
        <w:rPr>
          <w:color w:val="auto"/>
        </w:rPr>
        <w:t>Terry Lehenbauer (UC Davis)</w:t>
      </w:r>
    </w:p>
    <w:p w:rsidR="009164F1" w:rsidRPr="00A95A34" w:rsidRDefault="009164F1" w:rsidP="00A95A34">
      <w:pPr>
        <w:spacing w:after="0" w:line="240" w:lineRule="auto"/>
        <w:rPr>
          <w:color w:val="auto"/>
        </w:rPr>
      </w:pPr>
      <w:r w:rsidRPr="00A95A34">
        <w:rPr>
          <w:color w:val="auto"/>
        </w:rPr>
        <w:t>John Middleton (Missouri)</w:t>
      </w:r>
    </w:p>
    <w:p w:rsidR="00A1060A" w:rsidRDefault="00A1060A" w:rsidP="00A1060A">
      <w:pPr>
        <w:spacing w:after="0" w:line="240" w:lineRule="auto"/>
      </w:pPr>
      <w:r>
        <w:t>Srirama Roa (Minnesota)</w:t>
      </w:r>
    </w:p>
    <w:p w:rsidR="009164F1" w:rsidRPr="00A95A34" w:rsidRDefault="009164F1" w:rsidP="00A95A34">
      <w:pPr>
        <w:spacing w:after="0" w:line="240" w:lineRule="auto"/>
        <w:rPr>
          <w:color w:val="auto"/>
        </w:rPr>
      </w:pPr>
      <w:r w:rsidRPr="00A95A34">
        <w:rPr>
          <w:color w:val="auto"/>
        </w:rPr>
        <w:t>Vilma Yuzbasiyan-Gurkan (Michigan)</w:t>
      </w:r>
    </w:p>
    <w:p w:rsidR="009164F1" w:rsidRPr="00A95A34" w:rsidRDefault="009164F1" w:rsidP="00A95A34">
      <w:pPr>
        <w:spacing w:after="0" w:line="240" w:lineRule="auto"/>
        <w:rPr>
          <w:color w:val="auto"/>
        </w:rPr>
      </w:pPr>
      <w:r w:rsidRPr="00A95A34">
        <w:rPr>
          <w:color w:val="auto"/>
        </w:rPr>
        <w:t>Margo Holland (USDA)</w:t>
      </w:r>
    </w:p>
    <w:p w:rsidR="009164F1" w:rsidRPr="00A95A34" w:rsidRDefault="009164F1" w:rsidP="00A95A34">
      <w:pPr>
        <w:spacing w:after="0" w:line="240" w:lineRule="auto"/>
        <w:rPr>
          <w:b/>
          <w:bCs/>
          <w:color w:val="auto"/>
          <w:u w:val="single"/>
        </w:rPr>
      </w:pPr>
    </w:p>
    <w:p w:rsidR="00A1060A" w:rsidRPr="00A1060A" w:rsidRDefault="00A1060A" w:rsidP="00A95A34">
      <w:pPr>
        <w:spacing w:after="0" w:line="240" w:lineRule="auto"/>
        <w:rPr>
          <w:b/>
          <w:color w:val="auto"/>
          <w:u w:val="single"/>
        </w:rPr>
      </w:pPr>
      <w:r w:rsidRPr="00A1060A">
        <w:rPr>
          <w:b/>
          <w:color w:val="auto"/>
          <w:u w:val="single"/>
        </w:rPr>
        <w:t>Items Discussed</w:t>
      </w:r>
      <w:r>
        <w:rPr>
          <w:b/>
          <w:color w:val="auto"/>
          <w:u w:val="single"/>
        </w:rPr>
        <w:t>:</w:t>
      </w:r>
    </w:p>
    <w:p w:rsidR="00A1060A" w:rsidRDefault="00A1060A" w:rsidP="00A95A34">
      <w:pPr>
        <w:spacing w:after="0" w:line="240" w:lineRule="auto"/>
        <w:rPr>
          <w:color w:val="auto"/>
        </w:rPr>
      </w:pPr>
    </w:p>
    <w:p w:rsidR="002F5D06" w:rsidRPr="00A95A34" w:rsidRDefault="002F5D06" w:rsidP="00A95A34">
      <w:pPr>
        <w:spacing w:after="0" w:line="240" w:lineRule="auto"/>
        <w:rPr>
          <w:color w:val="auto"/>
        </w:rPr>
      </w:pPr>
      <w:r w:rsidRPr="00A95A34">
        <w:rPr>
          <w:color w:val="auto"/>
        </w:rPr>
        <w:t xml:space="preserve">The business meeting of the NCAC-02 was held just prior to the joint AAVMC Research Committee and AVMA Council on Research meeting.  </w:t>
      </w:r>
      <w:r w:rsidRPr="00A95A34">
        <w:rPr>
          <w:color w:val="auto"/>
        </w:rPr>
        <w:t xml:space="preserve">NCAC-02 members attended the AAVMC Research </w:t>
      </w:r>
      <w:r w:rsidR="00A1060A">
        <w:rPr>
          <w:color w:val="auto"/>
        </w:rPr>
        <w:t>C</w:t>
      </w:r>
      <w:r w:rsidRPr="00A95A34">
        <w:rPr>
          <w:color w:val="auto"/>
        </w:rPr>
        <w:t>ommittee/AVMA Council on Research meeting (agenda below).  Following introductions, Margo Holland gave a brief NIFA update.  John Middleton gave a brief summary of the project review conference call held on January 26</w:t>
      </w:r>
      <w:r w:rsidRPr="00A95A34">
        <w:rPr>
          <w:color w:val="auto"/>
          <w:vertAlign w:val="superscript"/>
        </w:rPr>
        <w:t>th</w:t>
      </w:r>
      <w:r w:rsidRPr="00A95A34">
        <w:rPr>
          <w:color w:val="auto"/>
        </w:rPr>
        <w:t xml:space="preserve"> from 10:00-11:30 AM (detailed below).</w:t>
      </w:r>
    </w:p>
    <w:p w:rsidR="002F5D06" w:rsidRPr="00A95A34" w:rsidRDefault="002F5D06" w:rsidP="00A95A34">
      <w:pPr>
        <w:spacing w:after="0" w:line="240" w:lineRule="auto"/>
        <w:rPr>
          <w:color w:val="auto"/>
        </w:rPr>
      </w:pPr>
    </w:p>
    <w:p w:rsidR="00A95A34" w:rsidRPr="00A95A34" w:rsidRDefault="002F5D06" w:rsidP="00A95A34">
      <w:pPr>
        <w:spacing w:after="0" w:line="240" w:lineRule="auto"/>
        <w:rPr>
          <w:color w:val="auto"/>
        </w:rPr>
      </w:pPr>
      <w:r w:rsidRPr="00A95A34">
        <w:rPr>
          <w:color w:val="auto"/>
        </w:rPr>
        <w:t xml:space="preserve">The review process was discussed and some recommendations made for Shawn Donkin (Administrative Advisor) to discuss with NCRA.  A listserve of all current participants would be helpful.  There is currently discussion within NCRA on the project review process.  </w:t>
      </w:r>
      <w:r w:rsidR="00F15679" w:rsidRPr="00A95A34">
        <w:rPr>
          <w:color w:val="auto"/>
        </w:rPr>
        <w:t>We discussed the need for clarity on funding of AES multistate projects, particularly for new investigators, i.e. the projects do receive funding, but individual institutions are given latitude on how the funds are distributed and hence the common complaint from investigators that “I don’t get any funding for participating in a multistate project.”  We discussed the need for clarity on recruiting new members for advisory committees and defining roles for members of the advisory commit</w:t>
      </w:r>
      <w:r w:rsidR="00A95A34" w:rsidRPr="00A95A34">
        <w:rPr>
          <w:color w:val="auto"/>
        </w:rPr>
        <w:t>t</w:t>
      </w:r>
      <w:r w:rsidR="00F15679" w:rsidRPr="00A95A34">
        <w:rPr>
          <w:color w:val="auto"/>
        </w:rPr>
        <w:t xml:space="preserve">ees.  We discussed the need for clarity on the review process, both for reviewers and those groups submitting projects.  It would be useful for the writers to see the review criteria and understand the expectations of reviewers to hopefully improve the quality of submissions and emphasize that there are real expectations for a quality proposal.  </w:t>
      </w:r>
    </w:p>
    <w:p w:rsidR="00A95A34" w:rsidRPr="00A95A34" w:rsidRDefault="00A95A34" w:rsidP="00A95A34">
      <w:pPr>
        <w:spacing w:after="0" w:line="240" w:lineRule="auto"/>
        <w:rPr>
          <w:color w:val="auto"/>
        </w:rPr>
      </w:pPr>
    </w:p>
    <w:p w:rsidR="002F5D06" w:rsidRDefault="00A95A34" w:rsidP="00A95A34">
      <w:pPr>
        <w:spacing w:after="0" w:line="240" w:lineRule="auto"/>
        <w:rPr>
          <w:color w:val="auto"/>
        </w:rPr>
      </w:pPr>
      <w:r w:rsidRPr="00A95A34">
        <w:rPr>
          <w:color w:val="auto"/>
        </w:rPr>
        <w:t xml:space="preserve">With regard to project reporting, </w:t>
      </w:r>
      <w:r w:rsidR="00F15679" w:rsidRPr="00A95A34">
        <w:rPr>
          <w:color w:val="auto"/>
        </w:rPr>
        <w:t>Margo emphasized the need to differentiate outputs (e.g. publications) from outcomes (e.g. how the results changed what we do in agriculture) and the need to “tell the story” of who was trained, where they were placed, and how the work has impacted agriculture and more broadly societ</w:t>
      </w:r>
      <w:r w:rsidRPr="00A95A34">
        <w:rPr>
          <w:color w:val="auto"/>
        </w:rPr>
        <w:t>y</w:t>
      </w:r>
      <w:r w:rsidR="00F15679" w:rsidRPr="00A95A34">
        <w:rPr>
          <w:color w:val="auto"/>
        </w:rPr>
        <w:t xml:space="preserve">.  Margo discussed that there are new instructions for reporting results in REEport including “talking points”, hot links for citations, </w:t>
      </w:r>
      <w:r w:rsidRPr="00A95A34">
        <w:rPr>
          <w:color w:val="auto"/>
        </w:rPr>
        <w:t xml:space="preserve">and </w:t>
      </w:r>
      <w:r w:rsidR="00F15679" w:rsidRPr="00A95A34">
        <w:rPr>
          <w:color w:val="auto"/>
        </w:rPr>
        <w:t>discussion of human resource</w:t>
      </w:r>
      <w:r w:rsidRPr="00A95A34">
        <w:rPr>
          <w:color w:val="auto"/>
        </w:rPr>
        <w:t>s</w:t>
      </w:r>
      <w:r w:rsidR="00F15679" w:rsidRPr="00A95A34">
        <w:rPr>
          <w:color w:val="auto"/>
        </w:rPr>
        <w:t xml:space="preserve"> </w:t>
      </w:r>
      <w:r w:rsidRPr="00A95A34">
        <w:rPr>
          <w:color w:val="auto"/>
        </w:rPr>
        <w:t>trained (including names, affiliations, and job placement).  These things are currently in place for AFRI awardees, but are coming for Hatch and 1433 projects.</w:t>
      </w:r>
    </w:p>
    <w:p w:rsidR="00A1060A" w:rsidRDefault="00A1060A" w:rsidP="00A95A34">
      <w:pPr>
        <w:spacing w:after="0" w:line="240" w:lineRule="auto"/>
        <w:rPr>
          <w:color w:val="auto"/>
        </w:rPr>
      </w:pPr>
    </w:p>
    <w:p w:rsidR="00A1060A" w:rsidRPr="00A95A34" w:rsidRDefault="00A1060A" w:rsidP="00A95A34">
      <w:pPr>
        <w:spacing w:after="0" w:line="240" w:lineRule="auto"/>
        <w:rPr>
          <w:color w:val="auto"/>
        </w:rPr>
      </w:pPr>
      <w:r>
        <w:rPr>
          <w:color w:val="auto"/>
        </w:rPr>
        <w:t>A conference call to review NIFA programs for FY17/FY18 will be held once Margo has a better idea of the Federal funding landscape and the new Secretary of Agriculture is confirmed.</w:t>
      </w:r>
    </w:p>
    <w:p w:rsidR="002F5D06" w:rsidRPr="00A95A34" w:rsidRDefault="002F5D06" w:rsidP="00A95A34">
      <w:pPr>
        <w:spacing w:after="0" w:line="240" w:lineRule="auto"/>
        <w:rPr>
          <w:color w:val="auto"/>
        </w:rPr>
      </w:pPr>
    </w:p>
    <w:p w:rsidR="002F5D06" w:rsidRPr="00A95A34" w:rsidRDefault="00A95A34" w:rsidP="00A95A34">
      <w:pPr>
        <w:spacing w:after="0" w:line="240" w:lineRule="auto"/>
        <w:rPr>
          <w:b/>
          <w:color w:val="auto"/>
          <w:u w:val="single"/>
        </w:rPr>
      </w:pPr>
      <w:r w:rsidRPr="00A95A34">
        <w:rPr>
          <w:color w:val="auto"/>
        </w:rPr>
        <w:lastRenderedPageBreak/>
        <w:t xml:space="preserve">John Middleton </w:t>
      </w:r>
      <w:r w:rsidR="002F5D06" w:rsidRPr="00A95A34">
        <w:rPr>
          <w:color w:val="auto"/>
        </w:rPr>
        <w:t>complete</w:t>
      </w:r>
      <w:r w:rsidR="00A1060A">
        <w:rPr>
          <w:color w:val="auto"/>
        </w:rPr>
        <w:t>d</w:t>
      </w:r>
      <w:r w:rsidR="002F5D06" w:rsidRPr="00A95A34">
        <w:rPr>
          <w:color w:val="auto"/>
        </w:rPr>
        <w:t xml:space="preserve"> his two-year term as Chair of the NCAC-02</w:t>
      </w:r>
      <w:r w:rsidRPr="00A95A34">
        <w:rPr>
          <w:color w:val="auto"/>
        </w:rPr>
        <w:t xml:space="preserve"> (2015-2017)</w:t>
      </w:r>
      <w:r w:rsidR="002F5D06" w:rsidRPr="00A95A34">
        <w:rPr>
          <w:color w:val="auto"/>
        </w:rPr>
        <w:t xml:space="preserve"> after this year’s business meeting.  </w:t>
      </w:r>
      <w:r w:rsidRPr="00A95A34">
        <w:rPr>
          <w:color w:val="auto"/>
        </w:rPr>
        <w:t xml:space="preserve">Jeff Lejeune (Secretary 2015-2017) should replace </w:t>
      </w:r>
      <w:r w:rsidR="002F5D06" w:rsidRPr="00A95A34">
        <w:rPr>
          <w:color w:val="auto"/>
        </w:rPr>
        <w:t xml:space="preserve">John Middleton </w:t>
      </w:r>
      <w:r w:rsidRPr="00A95A34">
        <w:rPr>
          <w:color w:val="auto"/>
        </w:rPr>
        <w:t>as</w:t>
      </w:r>
      <w:r w:rsidR="002F5D06" w:rsidRPr="00A95A34">
        <w:rPr>
          <w:color w:val="auto"/>
        </w:rPr>
        <w:t xml:space="preserve"> Chair (</w:t>
      </w:r>
      <w:r w:rsidRPr="00A95A34">
        <w:rPr>
          <w:color w:val="auto"/>
        </w:rPr>
        <w:t>2017-2019</w:t>
      </w:r>
      <w:r w:rsidR="002F5D06" w:rsidRPr="00A95A34">
        <w:rPr>
          <w:color w:val="auto"/>
        </w:rPr>
        <w:t>)</w:t>
      </w:r>
      <w:r w:rsidRPr="00A95A34">
        <w:rPr>
          <w:color w:val="auto"/>
        </w:rPr>
        <w:t>, but was absent for both the January conference call and the annual meeting</w:t>
      </w:r>
      <w:r w:rsidR="002F5D06" w:rsidRPr="00A95A34">
        <w:rPr>
          <w:color w:val="auto"/>
        </w:rPr>
        <w:t xml:space="preserve">.  A call for nominations </w:t>
      </w:r>
      <w:r w:rsidRPr="00A95A34">
        <w:rPr>
          <w:color w:val="auto"/>
        </w:rPr>
        <w:t xml:space="preserve">of Secretary </w:t>
      </w:r>
      <w:r w:rsidR="002F5D06" w:rsidRPr="00A95A34">
        <w:rPr>
          <w:color w:val="auto"/>
        </w:rPr>
        <w:t xml:space="preserve">was made and </w:t>
      </w:r>
      <w:r w:rsidRPr="00A95A34">
        <w:rPr>
          <w:color w:val="auto"/>
        </w:rPr>
        <w:t xml:space="preserve">Frank Blecha volunteered and was elected Secretary (2017-2019).  In Jeff’s absence, John Middleton agreed to serve an additional year as Chair.  Shawn Donkin will contact Jeff </w:t>
      </w:r>
      <w:r w:rsidR="00A1060A">
        <w:rPr>
          <w:color w:val="auto"/>
        </w:rPr>
        <w:t xml:space="preserve">to discuss </w:t>
      </w:r>
      <w:r w:rsidRPr="00A95A34">
        <w:rPr>
          <w:color w:val="auto"/>
        </w:rPr>
        <w:t>whether he plans to take over as Chair and is willing to fulfill the duties of Chair.</w:t>
      </w:r>
    </w:p>
    <w:p w:rsidR="00347753" w:rsidRDefault="00347753" w:rsidP="00A95A34">
      <w:pPr>
        <w:spacing w:after="0" w:line="240" w:lineRule="auto"/>
        <w:rPr>
          <w:rFonts w:asciiTheme="minorHAnsi" w:hAnsiTheme="minorHAnsi" w:cstheme="minorBidi"/>
          <w:color w:val="auto"/>
        </w:rPr>
      </w:pPr>
    </w:p>
    <w:p w:rsidR="002F5D06" w:rsidRPr="00A95A34" w:rsidRDefault="00A95A34" w:rsidP="00A95A34">
      <w:pPr>
        <w:spacing w:after="0" w:line="240" w:lineRule="auto"/>
        <w:rPr>
          <w:rFonts w:asciiTheme="minorHAnsi" w:hAnsiTheme="minorHAnsi" w:cstheme="minorBidi"/>
          <w:color w:val="auto"/>
        </w:rPr>
      </w:pPr>
      <w:bookmarkStart w:id="0" w:name="_GoBack"/>
      <w:bookmarkEnd w:id="0"/>
      <w:r w:rsidRPr="00A95A34">
        <w:rPr>
          <w:rFonts w:asciiTheme="minorHAnsi" w:hAnsiTheme="minorHAnsi" w:cstheme="minorBidi"/>
          <w:color w:val="auto"/>
        </w:rPr>
        <w:t>Meeting adjourned at 08:00 AM.</w:t>
      </w:r>
    </w:p>
    <w:p w:rsidR="00A95A34" w:rsidRDefault="00A95A34" w:rsidP="00A95A34">
      <w:pPr>
        <w:tabs>
          <w:tab w:val="left" w:pos="1710"/>
        </w:tabs>
        <w:autoSpaceDE w:val="0"/>
        <w:autoSpaceDN w:val="0"/>
        <w:adjustRightInd w:val="0"/>
        <w:spacing w:after="0" w:line="240" w:lineRule="auto"/>
        <w:jc w:val="center"/>
        <w:rPr>
          <w:rFonts w:asciiTheme="minorHAnsi" w:hAnsiTheme="minorHAnsi"/>
          <w:b/>
          <w:color w:val="auto"/>
        </w:rPr>
      </w:pPr>
    </w:p>
    <w:p w:rsidR="00A95A34" w:rsidRPr="00A95A34" w:rsidRDefault="00A95A34" w:rsidP="00A95A34">
      <w:pPr>
        <w:tabs>
          <w:tab w:val="left" w:pos="1710"/>
        </w:tabs>
        <w:autoSpaceDE w:val="0"/>
        <w:autoSpaceDN w:val="0"/>
        <w:adjustRightInd w:val="0"/>
        <w:spacing w:after="0" w:line="240" w:lineRule="auto"/>
        <w:jc w:val="center"/>
        <w:rPr>
          <w:rFonts w:asciiTheme="minorHAnsi" w:hAnsiTheme="minorHAnsi"/>
          <w:b/>
          <w:color w:val="auto"/>
        </w:rPr>
      </w:pPr>
      <w:r>
        <w:rPr>
          <w:rFonts w:asciiTheme="minorHAnsi" w:hAnsiTheme="minorHAnsi"/>
          <w:b/>
          <w:color w:val="auto"/>
        </w:rPr>
        <w:t xml:space="preserve">AAVMC </w:t>
      </w:r>
      <w:r w:rsidRPr="00A95A34">
        <w:rPr>
          <w:rFonts w:asciiTheme="minorHAnsi" w:hAnsiTheme="minorHAnsi"/>
          <w:b/>
          <w:color w:val="auto"/>
        </w:rPr>
        <w:t>Research Committee Meeting</w:t>
      </w:r>
    </w:p>
    <w:p w:rsidR="00A95A34" w:rsidRPr="00A95A34" w:rsidRDefault="00A95A34" w:rsidP="00A95A34">
      <w:pPr>
        <w:tabs>
          <w:tab w:val="left" w:pos="1710"/>
        </w:tabs>
        <w:autoSpaceDE w:val="0"/>
        <w:autoSpaceDN w:val="0"/>
        <w:adjustRightInd w:val="0"/>
        <w:spacing w:after="0" w:line="240" w:lineRule="auto"/>
        <w:jc w:val="center"/>
        <w:rPr>
          <w:rFonts w:asciiTheme="minorHAnsi" w:hAnsiTheme="minorHAnsi"/>
          <w:bCs/>
          <w:color w:val="auto"/>
        </w:rPr>
      </w:pPr>
      <w:r w:rsidRPr="00A95A34">
        <w:rPr>
          <w:rFonts w:asciiTheme="minorHAnsi" w:hAnsiTheme="minorHAnsi"/>
          <w:bCs/>
          <w:color w:val="auto"/>
        </w:rPr>
        <w:t>Hampton Ballroom</w:t>
      </w:r>
    </w:p>
    <w:p w:rsidR="00A95A34" w:rsidRPr="00A95A34" w:rsidRDefault="00A95A34" w:rsidP="00A95A34">
      <w:pPr>
        <w:tabs>
          <w:tab w:val="left" w:pos="1710"/>
        </w:tabs>
        <w:autoSpaceDE w:val="0"/>
        <w:autoSpaceDN w:val="0"/>
        <w:adjustRightInd w:val="0"/>
        <w:spacing w:after="0" w:line="240" w:lineRule="auto"/>
        <w:jc w:val="center"/>
        <w:rPr>
          <w:rFonts w:asciiTheme="minorHAnsi" w:hAnsiTheme="minorHAnsi"/>
          <w:bCs/>
          <w:color w:val="auto"/>
        </w:rPr>
      </w:pPr>
      <w:r w:rsidRPr="00A95A34">
        <w:rPr>
          <w:rFonts w:asciiTheme="minorHAnsi" w:hAnsiTheme="minorHAnsi"/>
          <w:bCs/>
          <w:color w:val="auto"/>
        </w:rPr>
        <w:t>Friday, March 10, 2017</w:t>
      </w:r>
    </w:p>
    <w:p w:rsidR="00A95A34" w:rsidRPr="00A95A34" w:rsidRDefault="00A95A34" w:rsidP="00A95A34">
      <w:pPr>
        <w:tabs>
          <w:tab w:val="left" w:pos="1710"/>
        </w:tabs>
        <w:spacing w:after="0" w:line="240" w:lineRule="auto"/>
        <w:jc w:val="center"/>
        <w:rPr>
          <w:rFonts w:asciiTheme="minorHAnsi" w:hAnsiTheme="minorHAnsi"/>
          <w:color w:val="auto"/>
        </w:rPr>
      </w:pPr>
      <w:r w:rsidRPr="00A95A34">
        <w:rPr>
          <w:rFonts w:asciiTheme="minorHAnsi" w:hAnsiTheme="minorHAnsi"/>
          <w:color w:val="auto"/>
        </w:rPr>
        <w:t>8:00 a.m. to 12:00 p.m.</w:t>
      </w:r>
    </w:p>
    <w:p w:rsidR="00A95A34" w:rsidRPr="00A95A34" w:rsidRDefault="00A95A34" w:rsidP="00A95A34">
      <w:pPr>
        <w:tabs>
          <w:tab w:val="left" w:pos="1710"/>
        </w:tabs>
        <w:spacing w:after="0" w:line="240" w:lineRule="auto"/>
        <w:rPr>
          <w:rFonts w:asciiTheme="minorHAnsi" w:hAnsiTheme="minorHAnsi"/>
          <w:color w:val="auto"/>
        </w:rPr>
      </w:pPr>
    </w:p>
    <w:p w:rsidR="00A95A34" w:rsidRPr="00A95A34" w:rsidRDefault="00A95A34" w:rsidP="00A95A34">
      <w:pPr>
        <w:tabs>
          <w:tab w:val="left" w:pos="1710"/>
        </w:tabs>
        <w:spacing w:after="0" w:line="240" w:lineRule="auto"/>
        <w:rPr>
          <w:rFonts w:asciiTheme="minorHAnsi" w:hAnsiTheme="minorHAnsi"/>
          <w:color w:val="auto"/>
        </w:rPr>
      </w:pPr>
    </w:p>
    <w:p w:rsidR="00A95A34" w:rsidRPr="00A95A34" w:rsidRDefault="00A95A34" w:rsidP="00A95A34">
      <w:pPr>
        <w:tabs>
          <w:tab w:val="left" w:pos="1710"/>
        </w:tabs>
        <w:spacing w:after="0" w:line="240" w:lineRule="auto"/>
        <w:rPr>
          <w:rFonts w:asciiTheme="minorHAnsi" w:hAnsiTheme="minorHAnsi"/>
          <w:b/>
          <w:color w:val="auto"/>
        </w:rPr>
      </w:pPr>
      <w:r w:rsidRPr="00A95A34">
        <w:rPr>
          <w:rFonts w:asciiTheme="minorHAnsi" w:hAnsiTheme="minorHAnsi"/>
          <w:color w:val="auto"/>
        </w:rPr>
        <w:t>8:00-8:15</w:t>
      </w:r>
      <w:r w:rsidRPr="00A95A34">
        <w:rPr>
          <w:rFonts w:asciiTheme="minorHAnsi" w:hAnsiTheme="minorHAnsi"/>
          <w:color w:val="auto"/>
        </w:rPr>
        <w:tab/>
      </w:r>
      <w:r w:rsidRPr="00A95A34">
        <w:rPr>
          <w:rFonts w:asciiTheme="minorHAnsi" w:hAnsiTheme="minorHAnsi"/>
          <w:b/>
          <w:color w:val="auto"/>
        </w:rPr>
        <w:t>Welcome and Introductions</w:t>
      </w:r>
    </w:p>
    <w:p w:rsidR="00A95A34" w:rsidRPr="00A95A34" w:rsidRDefault="00A95A34" w:rsidP="00A95A34">
      <w:pPr>
        <w:tabs>
          <w:tab w:val="left" w:pos="1710"/>
        </w:tabs>
        <w:spacing w:after="0" w:line="240" w:lineRule="auto"/>
        <w:rPr>
          <w:rFonts w:asciiTheme="minorHAnsi" w:hAnsiTheme="minorHAnsi"/>
          <w:color w:val="auto"/>
        </w:rPr>
      </w:pPr>
      <w:r w:rsidRPr="00A95A34">
        <w:rPr>
          <w:rFonts w:asciiTheme="minorHAnsi" w:hAnsiTheme="minorHAnsi"/>
          <w:i/>
          <w:color w:val="auto"/>
        </w:rPr>
        <w:tab/>
        <w:t>Sue VandeWoude, Chair, Research Committee; Colorado State University</w:t>
      </w:r>
    </w:p>
    <w:p w:rsidR="00A95A34" w:rsidRPr="00A95A34" w:rsidRDefault="00A95A34" w:rsidP="00A95A34">
      <w:pPr>
        <w:tabs>
          <w:tab w:val="left" w:pos="1710"/>
        </w:tabs>
        <w:spacing w:after="0" w:line="240" w:lineRule="auto"/>
        <w:rPr>
          <w:rFonts w:asciiTheme="minorHAnsi" w:hAnsiTheme="minorHAnsi"/>
          <w:b/>
          <w:color w:val="auto"/>
        </w:rPr>
      </w:pPr>
    </w:p>
    <w:p w:rsidR="00A95A34" w:rsidRPr="00A95A34" w:rsidRDefault="00A95A34" w:rsidP="00A95A34">
      <w:pPr>
        <w:tabs>
          <w:tab w:val="left" w:pos="1710"/>
        </w:tabs>
        <w:spacing w:after="0" w:line="240" w:lineRule="auto"/>
        <w:rPr>
          <w:rFonts w:asciiTheme="minorHAnsi" w:hAnsiTheme="minorHAnsi"/>
          <w:color w:val="auto"/>
        </w:rPr>
      </w:pPr>
      <w:r w:rsidRPr="00A95A34">
        <w:rPr>
          <w:rFonts w:asciiTheme="minorHAnsi" w:hAnsiTheme="minorHAnsi"/>
          <w:color w:val="auto"/>
        </w:rPr>
        <w:t>8:15-8:45</w:t>
      </w:r>
      <w:r w:rsidRPr="00A95A34">
        <w:rPr>
          <w:rFonts w:asciiTheme="minorHAnsi" w:hAnsiTheme="minorHAnsi"/>
          <w:color w:val="auto"/>
        </w:rPr>
        <w:tab/>
      </w:r>
      <w:r w:rsidRPr="00A95A34">
        <w:rPr>
          <w:rFonts w:asciiTheme="minorHAnsi" w:hAnsiTheme="minorHAnsi"/>
          <w:b/>
          <w:color w:val="auto"/>
        </w:rPr>
        <w:t>National Institute of Food and Agriculture, US Department of Agriculture</w:t>
      </w:r>
    </w:p>
    <w:p w:rsidR="00A95A34" w:rsidRPr="00A95A34" w:rsidRDefault="00A95A34" w:rsidP="00A95A34">
      <w:pPr>
        <w:tabs>
          <w:tab w:val="left" w:pos="1710"/>
        </w:tabs>
        <w:spacing w:after="0" w:line="240" w:lineRule="auto"/>
        <w:rPr>
          <w:rFonts w:asciiTheme="minorHAnsi" w:hAnsiTheme="minorHAnsi"/>
          <w:i/>
          <w:color w:val="auto"/>
        </w:rPr>
      </w:pPr>
      <w:r w:rsidRPr="00A95A34">
        <w:rPr>
          <w:rFonts w:asciiTheme="minorHAnsi" w:hAnsiTheme="minorHAnsi"/>
          <w:color w:val="auto"/>
        </w:rPr>
        <w:tab/>
      </w:r>
      <w:r w:rsidRPr="00A95A34">
        <w:rPr>
          <w:rFonts w:asciiTheme="minorHAnsi" w:hAnsiTheme="minorHAnsi"/>
          <w:i/>
          <w:color w:val="auto"/>
        </w:rPr>
        <w:t>Margo Holland, National Program Leader, Animal Health and Well-Being Programs</w:t>
      </w:r>
    </w:p>
    <w:p w:rsidR="00A95A34" w:rsidRPr="00A95A34" w:rsidRDefault="00A95A34" w:rsidP="00A95A34">
      <w:pPr>
        <w:tabs>
          <w:tab w:val="left" w:pos="1710"/>
        </w:tabs>
        <w:spacing w:after="0" w:line="240" w:lineRule="auto"/>
        <w:rPr>
          <w:rFonts w:asciiTheme="minorHAnsi" w:hAnsiTheme="minorHAnsi"/>
          <w:i/>
          <w:color w:val="auto"/>
        </w:rPr>
      </w:pPr>
      <w:r w:rsidRPr="00A95A34">
        <w:rPr>
          <w:rFonts w:asciiTheme="minorHAnsi" w:hAnsiTheme="minorHAnsi"/>
          <w:i/>
          <w:color w:val="auto"/>
        </w:rPr>
        <w:tab/>
        <w:t>(invited)</w:t>
      </w:r>
    </w:p>
    <w:p w:rsidR="00A95A34" w:rsidRPr="00A95A34" w:rsidRDefault="00A95A34" w:rsidP="00A95A34">
      <w:pPr>
        <w:tabs>
          <w:tab w:val="left" w:pos="1710"/>
        </w:tabs>
        <w:spacing w:after="0" w:line="240" w:lineRule="auto"/>
        <w:rPr>
          <w:rFonts w:asciiTheme="minorHAnsi" w:hAnsiTheme="minorHAnsi"/>
          <w:color w:val="auto"/>
        </w:rPr>
      </w:pPr>
    </w:p>
    <w:p w:rsidR="00A95A34" w:rsidRPr="00A95A34" w:rsidRDefault="00A95A34" w:rsidP="00A95A34">
      <w:pPr>
        <w:tabs>
          <w:tab w:val="left" w:pos="1710"/>
        </w:tabs>
        <w:spacing w:after="0" w:line="240" w:lineRule="auto"/>
        <w:rPr>
          <w:rFonts w:asciiTheme="minorHAnsi" w:hAnsiTheme="minorHAnsi"/>
          <w:color w:val="auto"/>
        </w:rPr>
      </w:pPr>
      <w:r w:rsidRPr="00A95A34">
        <w:rPr>
          <w:rFonts w:asciiTheme="minorHAnsi" w:hAnsiTheme="minorHAnsi"/>
          <w:color w:val="auto"/>
        </w:rPr>
        <w:t>8:45-9:00</w:t>
      </w:r>
      <w:r w:rsidRPr="00A95A34">
        <w:rPr>
          <w:rFonts w:asciiTheme="minorHAnsi" w:hAnsiTheme="minorHAnsi"/>
          <w:color w:val="auto"/>
        </w:rPr>
        <w:tab/>
      </w:r>
      <w:r w:rsidRPr="00A95A34">
        <w:rPr>
          <w:rFonts w:asciiTheme="minorHAnsi" w:hAnsiTheme="minorHAnsi"/>
          <w:b/>
          <w:color w:val="auto"/>
        </w:rPr>
        <w:t xml:space="preserve">AVMA Council on Research </w:t>
      </w:r>
    </w:p>
    <w:p w:rsidR="00A95A34" w:rsidRPr="00A95A34" w:rsidRDefault="00A95A34" w:rsidP="00A95A34">
      <w:pPr>
        <w:spacing w:after="0" w:line="240" w:lineRule="auto"/>
        <w:ind w:left="1710"/>
        <w:rPr>
          <w:rFonts w:asciiTheme="minorHAnsi" w:hAnsiTheme="minorHAnsi"/>
          <w:i/>
          <w:color w:val="auto"/>
        </w:rPr>
      </w:pPr>
      <w:r w:rsidRPr="00A95A34">
        <w:rPr>
          <w:rFonts w:asciiTheme="minorHAnsi" w:hAnsiTheme="minorHAnsi"/>
          <w:i/>
          <w:color w:val="auto"/>
        </w:rPr>
        <w:t>E.D. Murphey, Assistant Director, Education and Research Division, AVMA</w:t>
      </w:r>
    </w:p>
    <w:p w:rsidR="00A95A34" w:rsidRPr="00A95A34" w:rsidRDefault="00A95A34" w:rsidP="00A95A34">
      <w:pPr>
        <w:tabs>
          <w:tab w:val="left" w:pos="1710"/>
        </w:tabs>
        <w:spacing w:after="0" w:line="240" w:lineRule="auto"/>
        <w:ind w:left="1800" w:hanging="1800"/>
        <w:rPr>
          <w:rFonts w:asciiTheme="minorHAnsi" w:hAnsiTheme="minorHAnsi"/>
          <w:color w:val="auto"/>
        </w:rPr>
      </w:pPr>
    </w:p>
    <w:p w:rsidR="00A95A34" w:rsidRPr="00A95A34" w:rsidRDefault="00A95A34" w:rsidP="00A95A34">
      <w:pPr>
        <w:tabs>
          <w:tab w:val="left" w:pos="1710"/>
        </w:tabs>
        <w:spacing w:after="0" w:line="240" w:lineRule="auto"/>
        <w:ind w:left="1800" w:hanging="1800"/>
        <w:rPr>
          <w:rFonts w:asciiTheme="minorHAnsi" w:hAnsiTheme="minorHAnsi"/>
          <w:color w:val="auto"/>
        </w:rPr>
      </w:pPr>
      <w:r w:rsidRPr="00A95A34">
        <w:rPr>
          <w:rFonts w:asciiTheme="minorHAnsi" w:hAnsiTheme="minorHAnsi"/>
          <w:color w:val="auto"/>
        </w:rPr>
        <w:t>9:00-9:45</w:t>
      </w:r>
      <w:r w:rsidRPr="00A95A34">
        <w:rPr>
          <w:rFonts w:asciiTheme="minorHAnsi" w:hAnsiTheme="minorHAnsi"/>
          <w:color w:val="auto"/>
        </w:rPr>
        <w:tab/>
      </w:r>
      <w:r w:rsidRPr="00A95A34">
        <w:rPr>
          <w:rFonts w:asciiTheme="minorHAnsi" w:hAnsiTheme="minorHAnsi"/>
          <w:b/>
          <w:color w:val="auto"/>
        </w:rPr>
        <w:t>Strategic Discussion: Research Career Development</w:t>
      </w:r>
    </w:p>
    <w:p w:rsidR="00A95A34" w:rsidRPr="00A95A34" w:rsidRDefault="00A95A34" w:rsidP="00A95A34">
      <w:pPr>
        <w:tabs>
          <w:tab w:val="left" w:pos="1710"/>
        </w:tabs>
        <w:spacing w:after="0" w:line="240" w:lineRule="auto"/>
        <w:rPr>
          <w:rFonts w:asciiTheme="minorHAnsi" w:hAnsiTheme="minorHAnsi"/>
          <w:i/>
          <w:color w:val="auto"/>
        </w:rPr>
      </w:pPr>
      <w:r w:rsidRPr="00A95A34">
        <w:rPr>
          <w:rFonts w:asciiTheme="minorHAnsi" w:hAnsiTheme="minorHAnsi"/>
          <w:color w:val="auto"/>
        </w:rPr>
        <w:tab/>
      </w:r>
      <w:r w:rsidRPr="00A95A34">
        <w:rPr>
          <w:rFonts w:asciiTheme="minorHAnsi" w:hAnsiTheme="minorHAnsi"/>
          <w:i/>
          <w:color w:val="auto"/>
        </w:rPr>
        <w:t>Sue VandeWoude, Chair, Research Committee; Colorado State University</w:t>
      </w:r>
    </w:p>
    <w:p w:rsidR="00A95A34" w:rsidRPr="00A95A34" w:rsidRDefault="00A95A34" w:rsidP="00A95A34">
      <w:pPr>
        <w:tabs>
          <w:tab w:val="left" w:pos="1710"/>
        </w:tabs>
        <w:spacing w:after="0" w:line="240" w:lineRule="auto"/>
        <w:rPr>
          <w:rFonts w:asciiTheme="minorHAnsi" w:hAnsiTheme="minorHAnsi"/>
          <w:color w:val="auto"/>
        </w:rPr>
      </w:pPr>
    </w:p>
    <w:p w:rsidR="00A95A34" w:rsidRPr="00A95A34" w:rsidRDefault="00A95A34" w:rsidP="00A95A34">
      <w:pPr>
        <w:tabs>
          <w:tab w:val="left" w:pos="1710"/>
        </w:tabs>
        <w:spacing w:after="0" w:line="240" w:lineRule="auto"/>
        <w:rPr>
          <w:rFonts w:asciiTheme="minorHAnsi" w:hAnsiTheme="minorHAnsi"/>
          <w:color w:val="auto"/>
        </w:rPr>
      </w:pPr>
      <w:r w:rsidRPr="00A95A34">
        <w:rPr>
          <w:rFonts w:asciiTheme="minorHAnsi" w:hAnsiTheme="minorHAnsi"/>
          <w:color w:val="auto"/>
        </w:rPr>
        <w:t xml:space="preserve">9:45–10:00 </w:t>
      </w:r>
      <w:r w:rsidRPr="00A95A34">
        <w:rPr>
          <w:rFonts w:asciiTheme="minorHAnsi" w:hAnsiTheme="minorHAnsi"/>
          <w:color w:val="auto"/>
        </w:rPr>
        <w:tab/>
        <w:t>Break</w:t>
      </w:r>
    </w:p>
    <w:p w:rsidR="00A95A34" w:rsidRPr="00A95A34" w:rsidRDefault="00A95A34" w:rsidP="00A95A34">
      <w:pPr>
        <w:tabs>
          <w:tab w:val="left" w:pos="1710"/>
        </w:tabs>
        <w:spacing w:after="0" w:line="240" w:lineRule="auto"/>
        <w:rPr>
          <w:rFonts w:asciiTheme="minorHAnsi" w:hAnsiTheme="minorHAnsi"/>
          <w:color w:val="auto"/>
        </w:rPr>
      </w:pPr>
    </w:p>
    <w:p w:rsidR="00A95A34" w:rsidRPr="00A95A34" w:rsidRDefault="00A95A34" w:rsidP="00A95A34">
      <w:pPr>
        <w:tabs>
          <w:tab w:val="left" w:pos="1710"/>
        </w:tabs>
        <w:spacing w:after="0" w:line="240" w:lineRule="auto"/>
        <w:rPr>
          <w:rFonts w:asciiTheme="minorHAnsi" w:hAnsiTheme="minorHAnsi"/>
          <w:color w:val="auto"/>
        </w:rPr>
      </w:pPr>
      <w:r w:rsidRPr="00A95A34">
        <w:rPr>
          <w:rFonts w:asciiTheme="minorHAnsi" w:hAnsiTheme="minorHAnsi"/>
          <w:color w:val="auto"/>
        </w:rPr>
        <w:t>10:00-11:00</w:t>
      </w:r>
      <w:r w:rsidRPr="00A95A34">
        <w:rPr>
          <w:rFonts w:asciiTheme="minorHAnsi" w:hAnsiTheme="minorHAnsi"/>
          <w:color w:val="auto"/>
        </w:rPr>
        <w:tab/>
      </w:r>
      <w:r w:rsidRPr="00A95A34">
        <w:rPr>
          <w:rFonts w:asciiTheme="minorHAnsi" w:hAnsiTheme="minorHAnsi"/>
          <w:b/>
          <w:color w:val="auto"/>
        </w:rPr>
        <w:t>NIH Physician-Scientist Workforce Report Implementation</w:t>
      </w:r>
    </w:p>
    <w:p w:rsidR="00A95A34" w:rsidRPr="00A95A34" w:rsidRDefault="00A95A34" w:rsidP="00A95A34">
      <w:pPr>
        <w:tabs>
          <w:tab w:val="left" w:pos="1710"/>
        </w:tabs>
        <w:spacing w:after="0" w:line="240" w:lineRule="auto"/>
        <w:rPr>
          <w:rFonts w:asciiTheme="minorHAnsi" w:hAnsiTheme="minorHAnsi"/>
          <w:i/>
          <w:color w:val="auto"/>
        </w:rPr>
      </w:pPr>
      <w:r w:rsidRPr="00A95A34">
        <w:rPr>
          <w:rFonts w:asciiTheme="minorHAnsi" w:hAnsiTheme="minorHAnsi"/>
          <w:color w:val="auto"/>
        </w:rPr>
        <w:tab/>
      </w:r>
      <w:r w:rsidRPr="00A95A34">
        <w:rPr>
          <w:rFonts w:asciiTheme="minorHAnsi" w:hAnsiTheme="minorHAnsi"/>
          <w:i/>
          <w:color w:val="auto"/>
        </w:rPr>
        <w:t>Sherry Mills, Director, Office of Extramural Programs, NIH</w:t>
      </w:r>
    </w:p>
    <w:p w:rsidR="00A95A34" w:rsidRPr="00A95A34" w:rsidRDefault="00A95A34" w:rsidP="00A95A34">
      <w:pPr>
        <w:tabs>
          <w:tab w:val="left" w:pos="1710"/>
        </w:tabs>
        <w:spacing w:after="0" w:line="240" w:lineRule="auto"/>
        <w:rPr>
          <w:rFonts w:asciiTheme="minorHAnsi" w:hAnsiTheme="minorHAnsi"/>
          <w:color w:val="auto"/>
        </w:rPr>
      </w:pPr>
    </w:p>
    <w:p w:rsidR="00A95A34" w:rsidRPr="00A95A34" w:rsidRDefault="00A95A34" w:rsidP="00A95A34">
      <w:pPr>
        <w:tabs>
          <w:tab w:val="left" w:pos="1710"/>
        </w:tabs>
        <w:spacing w:after="0" w:line="240" w:lineRule="auto"/>
        <w:rPr>
          <w:rFonts w:asciiTheme="minorHAnsi" w:hAnsiTheme="minorHAnsi"/>
          <w:color w:val="auto"/>
        </w:rPr>
      </w:pPr>
      <w:r w:rsidRPr="00A95A34">
        <w:rPr>
          <w:rFonts w:asciiTheme="minorHAnsi" w:hAnsiTheme="minorHAnsi"/>
          <w:color w:val="auto"/>
        </w:rPr>
        <w:t>11:00-11:15</w:t>
      </w:r>
      <w:r w:rsidRPr="00A95A34">
        <w:rPr>
          <w:rFonts w:asciiTheme="minorHAnsi" w:hAnsiTheme="minorHAnsi"/>
          <w:color w:val="auto"/>
        </w:rPr>
        <w:tab/>
      </w:r>
      <w:r w:rsidRPr="00A95A34">
        <w:rPr>
          <w:rFonts w:asciiTheme="minorHAnsi" w:hAnsiTheme="minorHAnsi"/>
          <w:b/>
          <w:color w:val="auto"/>
        </w:rPr>
        <w:t>National Veterinary Scholars Symposium</w:t>
      </w:r>
    </w:p>
    <w:p w:rsidR="00A95A34" w:rsidRPr="00A95A34" w:rsidRDefault="00A95A34" w:rsidP="00A95A34">
      <w:pPr>
        <w:tabs>
          <w:tab w:val="left" w:pos="1710"/>
        </w:tabs>
        <w:spacing w:after="0" w:line="240" w:lineRule="auto"/>
        <w:rPr>
          <w:rFonts w:asciiTheme="minorHAnsi" w:hAnsiTheme="minorHAnsi"/>
          <w:i/>
          <w:color w:val="auto"/>
        </w:rPr>
      </w:pPr>
      <w:r w:rsidRPr="00A95A34">
        <w:rPr>
          <w:rFonts w:asciiTheme="minorHAnsi" w:hAnsiTheme="minorHAnsi"/>
          <w:color w:val="auto"/>
        </w:rPr>
        <w:tab/>
      </w:r>
      <w:r w:rsidRPr="00A95A34">
        <w:rPr>
          <w:rFonts w:asciiTheme="minorHAnsi" w:hAnsiTheme="minorHAnsi"/>
          <w:i/>
          <w:color w:val="auto"/>
        </w:rPr>
        <w:t>Mark Simpson, Director, NIH Comparative Biomedical Scientist Training Program</w:t>
      </w:r>
    </w:p>
    <w:p w:rsidR="00A95A34" w:rsidRPr="00A95A34" w:rsidRDefault="00A95A34" w:rsidP="00A95A34">
      <w:pPr>
        <w:tabs>
          <w:tab w:val="left" w:pos="1710"/>
        </w:tabs>
        <w:spacing w:after="0" w:line="240" w:lineRule="auto"/>
        <w:rPr>
          <w:rFonts w:asciiTheme="minorHAnsi" w:hAnsiTheme="minorHAnsi"/>
          <w:i/>
          <w:color w:val="auto"/>
        </w:rPr>
      </w:pPr>
      <w:r w:rsidRPr="00A95A34">
        <w:rPr>
          <w:rFonts w:asciiTheme="minorHAnsi" w:hAnsiTheme="minorHAnsi"/>
          <w:i/>
          <w:color w:val="auto"/>
        </w:rPr>
        <w:tab/>
      </w:r>
      <w:r w:rsidRPr="00A95A34">
        <w:rPr>
          <w:rFonts w:asciiTheme="minorHAnsi" w:hAnsiTheme="minorHAnsi"/>
          <w:i/>
          <w:color w:val="auto"/>
        </w:rPr>
        <w:tab/>
        <w:t>National Cancer Institute, NIH</w:t>
      </w:r>
    </w:p>
    <w:p w:rsidR="00A95A34" w:rsidRPr="00A95A34" w:rsidRDefault="00A95A34" w:rsidP="00A95A34">
      <w:pPr>
        <w:tabs>
          <w:tab w:val="left" w:pos="1710"/>
        </w:tabs>
        <w:spacing w:after="0" w:line="240" w:lineRule="auto"/>
        <w:rPr>
          <w:rFonts w:asciiTheme="minorHAnsi" w:hAnsiTheme="minorHAnsi"/>
          <w:i/>
          <w:color w:val="auto"/>
        </w:rPr>
      </w:pPr>
      <w:r w:rsidRPr="00A95A34">
        <w:rPr>
          <w:rFonts w:asciiTheme="minorHAnsi" w:hAnsiTheme="minorHAnsi"/>
          <w:i/>
          <w:color w:val="auto"/>
        </w:rPr>
        <w:tab/>
        <w:t>Vilma Yuzbasiyan-Gurkan, Michigan State University</w:t>
      </w:r>
    </w:p>
    <w:p w:rsidR="00A95A34" w:rsidRPr="00A95A34" w:rsidRDefault="00A95A34" w:rsidP="00A95A34">
      <w:pPr>
        <w:tabs>
          <w:tab w:val="left" w:pos="1710"/>
        </w:tabs>
        <w:spacing w:after="0" w:line="240" w:lineRule="auto"/>
        <w:rPr>
          <w:rFonts w:asciiTheme="minorHAnsi" w:hAnsiTheme="minorHAnsi"/>
          <w:color w:val="auto"/>
        </w:rPr>
      </w:pPr>
    </w:p>
    <w:p w:rsidR="00A95A34" w:rsidRPr="00A95A34" w:rsidRDefault="00A95A34" w:rsidP="00A95A34">
      <w:pPr>
        <w:tabs>
          <w:tab w:val="left" w:pos="1710"/>
        </w:tabs>
        <w:spacing w:after="0" w:line="240" w:lineRule="auto"/>
        <w:ind w:left="1800" w:hanging="1800"/>
        <w:rPr>
          <w:rFonts w:asciiTheme="minorHAnsi" w:hAnsiTheme="minorHAnsi"/>
          <w:color w:val="auto"/>
        </w:rPr>
      </w:pPr>
      <w:r w:rsidRPr="00A95A34">
        <w:rPr>
          <w:rFonts w:asciiTheme="minorHAnsi" w:hAnsiTheme="minorHAnsi"/>
          <w:color w:val="auto"/>
        </w:rPr>
        <w:t>11:15-11:30</w:t>
      </w:r>
      <w:r w:rsidRPr="00A95A34">
        <w:rPr>
          <w:rFonts w:asciiTheme="minorHAnsi" w:hAnsiTheme="minorHAnsi"/>
          <w:color w:val="auto"/>
        </w:rPr>
        <w:tab/>
      </w:r>
      <w:r w:rsidRPr="00A95A34">
        <w:rPr>
          <w:rFonts w:asciiTheme="minorHAnsi" w:hAnsiTheme="minorHAnsi"/>
          <w:b/>
          <w:color w:val="auto"/>
        </w:rPr>
        <w:t xml:space="preserve">Washington Update </w:t>
      </w:r>
    </w:p>
    <w:p w:rsidR="00A95A34" w:rsidRPr="00A95A34" w:rsidRDefault="00A95A34" w:rsidP="00A95A34">
      <w:pPr>
        <w:tabs>
          <w:tab w:val="left" w:pos="1710"/>
        </w:tabs>
        <w:spacing w:after="0" w:line="240" w:lineRule="auto"/>
        <w:ind w:left="1800" w:hanging="1800"/>
        <w:rPr>
          <w:rFonts w:asciiTheme="minorHAnsi" w:hAnsiTheme="minorHAnsi"/>
          <w:i/>
          <w:color w:val="auto"/>
        </w:rPr>
      </w:pPr>
      <w:r w:rsidRPr="00A95A34">
        <w:rPr>
          <w:rFonts w:asciiTheme="minorHAnsi" w:hAnsiTheme="minorHAnsi"/>
          <w:color w:val="auto"/>
        </w:rPr>
        <w:tab/>
      </w:r>
      <w:r w:rsidRPr="00A95A34">
        <w:rPr>
          <w:rFonts w:asciiTheme="minorHAnsi" w:hAnsiTheme="minorHAnsi"/>
          <w:i/>
          <w:color w:val="auto"/>
        </w:rPr>
        <w:t>Erika Miller, CRD Associates</w:t>
      </w:r>
    </w:p>
    <w:p w:rsidR="00A95A34" w:rsidRPr="00A95A34" w:rsidRDefault="00A95A34" w:rsidP="00A95A34">
      <w:pPr>
        <w:tabs>
          <w:tab w:val="left" w:pos="1710"/>
        </w:tabs>
        <w:spacing w:after="0" w:line="240" w:lineRule="auto"/>
        <w:rPr>
          <w:rFonts w:asciiTheme="minorHAnsi" w:hAnsiTheme="minorHAnsi"/>
          <w:color w:val="auto"/>
        </w:rPr>
      </w:pPr>
    </w:p>
    <w:p w:rsidR="00A95A34" w:rsidRPr="00A95A34" w:rsidRDefault="00A95A34" w:rsidP="00A95A34">
      <w:pPr>
        <w:tabs>
          <w:tab w:val="left" w:pos="1710"/>
        </w:tabs>
        <w:spacing w:after="0" w:line="240" w:lineRule="auto"/>
        <w:rPr>
          <w:rFonts w:asciiTheme="minorHAnsi" w:hAnsiTheme="minorHAnsi"/>
          <w:color w:val="auto"/>
        </w:rPr>
      </w:pPr>
      <w:r w:rsidRPr="00A95A34">
        <w:rPr>
          <w:rFonts w:asciiTheme="minorHAnsi" w:hAnsiTheme="minorHAnsi"/>
          <w:color w:val="auto"/>
        </w:rPr>
        <w:t>11:30-12:00</w:t>
      </w:r>
      <w:r w:rsidRPr="00A95A34">
        <w:rPr>
          <w:rFonts w:asciiTheme="minorHAnsi" w:hAnsiTheme="minorHAnsi"/>
          <w:color w:val="auto"/>
        </w:rPr>
        <w:tab/>
      </w:r>
      <w:r w:rsidRPr="00A95A34">
        <w:rPr>
          <w:rFonts w:asciiTheme="minorHAnsi" w:hAnsiTheme="minorHAnsi"/>
          <w:b/>
          <w:color w:val="auto"/>
        </w:rPr>
        <w:t>Open Discussion</w:t>
      </w:r>
      <w:r w:rsidRPr="00A95A34">
        <w:rPr>
          <w:rFonts w:asciiTheme="minorHAnsi" w:hAnsiTheme="minorHAnsi"/>
          <w:color w:val="auto"/>
        </w:rPr>
        <w:t xml:space="preserve"> </w:t>
      </w:r>
      <w:r w:rsidRPr="00A95A34">
        <w:rPr>
          <w:rFonts w:asciiTheme="minorHAnsi" w:hAnsiTheme="minorHAnsi"/>
          <w:color w:val="auto"/>
        </w:rPr>
        <w:tab/>
      </w:r>
    </w:p>
    <w:p w:rsidR="00A95A34" w:rsidRPr="00A95A34" w:rsidRDefault="00A95A34" w:rsidP="00A95A34">
      <w:pPr>
        <w:spacing w:after="0" w:line="240" w:lineRule="auto"/>
        <w:ind w:left="1710"/>
        <w:rPr>
          <w:rFonts w:asciiTheme="minorHAnsi" w:hAnsiTheme="minorHAnsi"/>
          <w:i/>
          <w:color w:val="auto"/>
        </w:rPr>
      </w:pPr>
      <w:r w:rsidRPr="00A95A34">
        <w:rPr>
          <w:rFonts w:asciiTheme="minorHAnsi" w:hAnsiTheme="minorHAnsi"/>
          <w:i/>
          <w:color w:val="auto"/>
        </w:rPr>
        <w:t>Sue VandeWoude, Chair, Research Committee; Colorado State University</w:t>
      </w:r>
    </w:p>
    <w:p w:rsidR="00A95A34" w:rsidRPr="00A95A34" w:rsidRDefault="00A95A34" w:rsidP="00A95A34">
      <w:pPr>
        <w:spacing w:after="0" w:line="240" w:lineRule="auto"/>
        <w:ind w:left="1710"/>
        <w:rPr>
          <w:rFonts w:asciiTheme="minorHAnsi" w:hAnsiTheme="minorHAnsi"/>
          <w:i/>
          <w:color w:val="auto"/>
        </w:rPr>
      </w:pPr>
      <w:r w:rsidRPr="00A95A34">
        <w:rPr>
          <w:rFonts w:asciiTheme="minorHAnsi" w:hAnsiTheme="minorHAnsi"/>
          <w:i/>
          <w:color w:val="auto"/>
        </w:rPr>
        <w:t>Harm HogenEsch, Chair Elect, Research Committee; Purdue University</w:t>
      </w:r>
    </w:p>
    <w:p w:rsidR="00A95A34" w:rsidRPr="00A95A34" w:rsidRDefault="00A95A34" w:rsidP="00A95A34">
      <w:pPr>
        <w:spacing w:after="0" w:line="240" w:lineRule="auto"/>
        <w:ind w:left="1710"/>
        <w:rPr>
          <w:rFonts w:asciiTheme="minorHAnsi" w:hAnsiTheme="minorHAnsi"/>
          <w:i/>
          <w:color w:val="auto"/>
        </w:rPr>
      </w:pPr>
      <w:r w:rsidRPr="00A95A34">
        <w:rPr>
          <w:rFonts w:asciiTheme="minorHAnsi" w:hAnsiTheme="minorHAnsi"/>
          <w:i/>
          <w:color w:val="auto"/>
        </w:rPr>
        <w:t>Sawkat Anwer, Past Chair, Research Committee; Tufts University</w:t>
      </w:r>
    </w:p>
    <w:p w:rsidR="00A95A34" w:rsidRPr="00A95A34" w:rsidRDefault="00A95A34" w:rsidP="00A95A34">
      <w:pPr>
        <w:spacing w:after="0" w:line="240" w:lineRule="auto"/>
        <w:ind w:left="1710"/>
        <w:rPr>
          <w:rFonts w:asciiTheme="minorHAnsi" w:hAnsiTheme="minorHAnsi"/>
          <w:i/>
          <w:color w:val="auto"/>
        </w:rPr>
      </w:pPr>
    </w:p>
    <w:p w:rsidR="00A95A34" w:rsidRPr="00A95A34" w:rsidRDefault="00A95A34" w:rsidP="00A95A34">
      <w:pPr>
        <w:spacing w:after="0" w:line="240" w:lineRule="auto"/>
        <w:rPr>
          <w:rFonts w:asciiTheme="minorHAnsi" w:hAnsiTheme="minorHAnsi" w:cstheme="minorBidi"/>
          <w:color w:val="auto"/>
        </w:rPr>
      </w:pPr>
    </w:p>
    <w:p w:rsidR="00A1060A" w:rsidRDefault="00A1060A">
      <w:pPr>
        <w:spacing w:after="160" w:line="259" w:lineRule="auto"/>
        <w:rPr>
          <w:b/>
          <w:bCs/>
          <w:color w:val="auto"/>
          <w:u w:val="single"/>
        </w:rPr>
      </w:pPr>
      <w:r>
        <w:rPr>
          <w:b/>
          <w:bCs/>
          <w:color w:val="auto"/>
          <w:u w:val="single"/>
        </w:rPr>
        <w:br w:type="page"/>
      </w:r>
    </w:p>
    <w:p w:rsidR="009164F1" w:rsidRDefault="009164F1" w:rsidP="00A1060A">
      <w:pPr>
        <w:spacing w:after="0" w:line="240" w:lineRule="auto"/>
        <w:jc w:val="center"/>
        <w:rPr>
          <w:b/>
          <w:bCs/>
          <w:color w:val="auto"/>
          <w:u w:val="single"/>
        </w:rPr>
      </w:pPr>
      <w:r w:rsidRPr="00A95A34">
        <w:rPr>
          <w:b/>
          <w:bCs/>
          <w:color w:val="auto"/>
          <w:u w:val="single"/>
        </w:rPr>
        <w:lastRenderedPageBreak/>
        <w:t>SUMMARY OF PROJECT REVIEWS</w:t>
      </w:r>
    </w:p>
    <w:p w:rsidR="00A1060A" w:rsidRDefault="00A1060A" w:rsidP="00A1060A">
      <w:pPr>
        <w:spacing w:after="0" w:line="240" w:lineRule="auto"/>
        <w:jc w:val="center"/>
        <w:rPr>
          <w:b/>
          <w:bCs/>
          <w:color w:val="auto"/>
          <w:u w:val="single"/>
        </w:rPr>
      </w:pPr>
      <w:r>
        <w:rPr>
          <w:b/>
          <w:bCs/>
          <w:color w:val="auto"/>
          <w:u w:val="single"/>
        </w:rPr>
        <w:t>Reviewed by Conference Call January 26, 2017 10:00-11:30 AM</w:t>
      </w:r>
    </w:p>
    <w:p w:rsidR="00A1060A" w:rsidRPr="00A95A34" w:rsidRDefault="00A1060A" w:rsidP="00A1060A">
      <w:pPr>
        <w:spacing w:after="0" w:line="240" w:lineRule="auto"/>
        <w:jc w:val="center"/>
        <w:rPr>
          <w:b/>
          <w:bCs/>
          <w:color w:val="auto"/>
          <w:u w:val="single"/>
        </w:rPr>
      </w:pPr>
    </w:p>
    <w:p w:rsidR="009164F1" w:rsidRDefault="009164F1" w:rsidP="00A95A34">
      <w:pPr>
        <w:spacing w:after="0" w:line="240" w:lineRule="auto"/>
        <w:rPr>
          <w:color w:val="auto"/>
        </w:rPr>
      </w:pPr>
      <w:r w:rsidRPr="00A95A34">
        <w:rPr>
          <w:color w:val="auto"/>
        </w:rPr>
        <w:t xml:space="preserve">The table below summarizes our overall decisions on each of the 5 projects we were assigned to review this year.  </w:t>
      </w:r>
      <w:r w:rsidR="00A1060A">
        <w:rPr>
          <w:color w:val="auto"/>
        </w:rPr>
        <w:t>Reports have been completed and submitted in NIMSS.</w:t>
      </w:r>
    </w:p>
    <w:p w:rsidR="00A1060A" w:rsidRPr="00A95A34" w:rsidRDefault="00A1060A" w:rsidP="00A95A34">
      <w:pPr>
        <w:spacing w:after="0" w:line="240" w:lineRule="auto"/>
        <w:rPr>
          <w:color w:val="auto"/>
        </w:rPr>
      </w:pPr>
    </w:p>
    <w:tbl>
      <w:tblPr>
        <w:tblW w:w="9350" w:type="dxa"/>
        <w:tblCellMar>
          <w:left w:w="0" w:type="dxa"/>
          <w:right w:w="0" w:type="dxa"/>
        </w:tblCellMar>
        <w:tblLook w:val="04A0" w:firstRow="1" w:lastRow="0" w:firstColumn="1" w:lastColumn="0" w:noHBand="0" w:noVBand="1"/>
      </w:tblPr>
      <w:tblGrid>
        <w:gridCol w:w="6380"/>
        <w:gridCol w:w="2970"/>
      </w:tblGrid>
      <w:tr w:rsidR="00A95A34" w:rsidRPr="00A95A34" w:rsidTr="009164F1">
        <w:tc>
          <w:tcPr>
            <w:tcW w:w="63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164F1" w:rsidRPr="00A95A34" w:rsidRDefault="009164F1" w:rsidP="00A95A34">
            <w:pPr>
              <w:spacing w:after="0" w:line="240" w:lineRule="auto"/>
              <w:rPr>
                <w:b/>
                <w:bCs/>
                <w:color w:val="auto"/>
              </w:rPr>
            </w:pPr>
            <w:r w:rsidRPr="00A95A34">
              <w:rPr>
                <w:b/>
                <w:bCs/>
                <w:color w:val="auto"/>
              </w:rPr>
              <w:t>Project</w:t>
            </w:r>
          </w:p>
        </w:tc>
        <w:tc>
          <w:tcPr>
            <w:tcW w:w="2970" w:type="dxa"/>
            <w:tcBorders>
              <w:top w:val="single" w:sz="8" w:space="0" w:color="auto"/>
              <w:left w:val="nil"/>
              <w:bottom w:val="single" w:sz="8" w:space="0" w:color="auto"/>
              <w:right w:val="single" w:sz="8" w:space="0" w:color="auto"/>
            </w:tcBorders>
            <w:shd w:val="clear" w:color="auto" w:fill="D9D9D9"/>
            <w:hideMark/>
          </w:tcPr>
          <w:p w:rsidR="009164F1" w:rsidRPr="00A95A34" w:rsidRDefault="009164F1" w:rsidP="00A95A34">
            <w:pPr>
              <w:spacing w:after="0" w:line="240" w:lineRule="auto"/>
              <w:jc w:val="center"/>
              <w:rPr>
                <w:b/>
                <w:bCs/>
                <w:color w:val="auto"/>
              </w:rPr>
            </w:pPr>
            <w:r w:rsidRPr="00A95A34">
              <w:rPr>
                <w:b/>
                <w:bCs/>
                <w:color w:val="auto"/>
              </w:rPr>
              <w:t>Action</w:t>
            </w:r>
          </w:p>
        </w:tc>
      </w:tr>
      <w:tr w:rsidR="00A95A34" w:rsidRPr="00A95A34" w:rsidTr="009164F1">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4F1" w:rsidRPr="00A95A34" w:rsidRDefault="009164F1" w:rsidP="00A95A34">
            <w:pPr>
              <w:spacing w:after="0" w:line="240" w:lineRule="auto"/>
              <w:rPr>
                <w:b/>
                <w:bCs/>
                <w:i/>
                <w:color w:val="auto"/>
              </w:rPr>
            </w:pPr>
            <w:r w:rsidRPr="00A95A34">
              <w:rPr>
                <w:b/>
                <w:bCs/>
                <w:i/>
                <w:color w:val="auto"/>
              </w:rPr>
              <w:t>Renewal</w:t>
            </w:r>
          </w:p>
        </w:tc>
        <w:tc>
          <w:tcPr>
            <w:tcW w:w="2970" w:type="dxa"/>
            <w:tcBorders>
              <w:top w:val="nil"/>
              <w:left w:val="nil"/>
              <w:bottom w:val="single" w:sz="8" w:space="0" w:color="auto"/>
              <w:right w:val="single" w:sz="8" w:space="0" w:color="auto"/>
            </w:tcBorders>
          </w:tcPr>
          <w:p w:rsidR="009164F1" w:rsidRPr="00A95A34" w:rsidRDefault="009164F1" w:rsidP="00A95A34">
            <w:pPr>
              <w:spacing w:after="0" w:line="240" w:lineRule="auto"/>
              <w:rPr>
                <w:color w:val="auto"/>
              </w:rPr>
            </w:pPr>
          </w:p>
        </w:tc>
      </w:tr>
      <w:tr w:rsidR="00A95A34" w:rsidRPr="00A95A34" w:rsidTr="009164F1">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4F1" w:rsidRPr="00A95A34" w:rsidRDefault="009164F1" w:rsidP="00A95A34">
            <w:pPr>
              <w:spacing w:after="0" w:line="240" w:lineRule="auto"/>
              <w:rPr>
                <w:color w:val="auto"/>
              </w:rPr>
            </w:pPr>
            <w:r w:rsidRPr="00A95A34">
              <w:rPr>
                <w:color w:val="auto"/>
              </w:rPr>
              <w:t>NC_temp 1202: Enteric diseases of Food Animals</w:t>
            </w:r>
          </w:p>
        </w:tc>
        <w:tc>
          <w:tcPr>
            <w:tcW w:w="2970" w:type="dxa"/>
            <w:tcBorders>
              <w:top w:val="nil"/>
              <w:left w:val="nil"/>
              <w:bottom w:val="single" w:sz="8" w:space="0" w:color="auto"/>
              <w:right w:val="single" w:sz="8" w:space="0" w:color="auto"/>
            </w:tcBorders>
            <w:hideMark/>
          </w:tcPr>
          <w:p w:rsidR="009164F1" w:rsidRPr="00A95A34" w:rsidRDefault="009164F1" w:rsidP="00347753">
            <w:pPr>
              <w:spacing w:after="0" w:line="240" w:lineRule="auto"/>
              <w:ind w:left="360"/>
              <w:contextualSpacing/>
              <w:jc w:val="both"/>
              <w:rPr>
                <w:color w:val="auto"/>
              </w:rPr>
            </w:pPr>
            <w:r w:rsidRPr="00A95A34">
              <w:rPr>
                <w:color w:val="auto"/>
              </w:rPr>
              <w:t>Approve with minor revision</w:t>
            </w:r>
          </w:p>
        </w:tc>
      </w:tr>
      <w:tr w:rsidR="00A95A34" w:rsidRPr="00A95A34" w:rsidTr="009164F1">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4F1" w:rsidRPr="00A95A34" w:rsidRDefault="009164F1" w:rsidP="00A95A34">
            <w:pPr>
              <w:spacing w:after="0" w:line="240" w:lineRule="auto"/>
              <w:rPr>
                <w:b/>
                <w:bCs/>
                <w:i/>
                <w:color w:val="auto"/>
              </w:rPr>
            </w:pPr>
            <w:r w:rsidRPr="00A95A34">
              <w:rPr>
                <w:b/>
                <w:bCs/>
                <w:i/>
                <w:color w:val="auto"/>
              </w:rPr>
              <w:t>New</w:t>
            </w:r>
          </w:p>
        </w:tc>
        <w:tc>
          <w:tcPr>
            <w:tcW w:w="2970" w:type="dxa"/>
            <w:tcBorders>
              <w:top w:val="nil"/>
              <w:left w:val="nil"/>
              <w:bottom w:val="single" w:sz="8" w:space="0" w:color="auto"/>
              <w:right w:val="single" w:sz="8" w:space="0" w:color="auto"/>
            </w:tcBorders>
          </w:tcPr>
          <w:p w:rsidR="009164F1" w:rsidRPr="00A95A34" w:rsidRDefault="009164F1" w:rsidP="00347753">
            <w:pPr>
              <w:spacing w:after="0" w:line="240" w:lineRule="auto"/>
              <w:ind w:left="360"/>
              <w:jc w:val="both"/>
              <w:rPr>
                <w:color w:val="auto"/>
              </w:rPr>
            </w:pPr>
          </w:p>
        </w:tc>
      </w:tr>
      <w:tr w:rsidR="00A95A34" w:rsidRPr="00A95A34" w:rsidTr="009164F1">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4F1" w:rsidRPr="00A95A34" w:rsidRDefault="009164F1" w:rsidP="00A95A34">
            <w:pPr>
              <w:spacing w:after="0" w:line="240" w:lineRule="auto"/>
              <w:rPr>
                <w:color w:val="auto"/>
              </w:rPr>
            </w:pPr>
            <w:r w:rsidRPr="00A95A34">
              <w:rPr>
                <w:color w:val="auto"/>
              </w:rPr>
              <w:t>NC_temp 1206: Antimicrobial Resistance</w:t>
            </w:r>
          </w:p>
        </w:tc>
        <w:tc>
          <w:tcPr>
            <w:tcW w:w="2970" w:type="dxa"/>
            <w:tcBorders>
              <w:top w:val="nil"/>
              <w:left w:val="nil"/>
              <w:bottom w:val="single" w:sz="8" w:space="0" w:color="auto"/>
              <w:right w:val="single" w:sz="8" w:space="0" w:color="auto"/>
            </w:tcBorders>
            <w:hideMark/>
          </w:tcPr>
          <w:p w:rsidR="009164F1" w:rsidRPr="00A95A34" w:rsidRDefault="009164F1" w:rsidP="00347753">
            <w:pPr>
              <w:spacing w:after="0" w:line="240" w:lineRule="auto"/>
              <w:ind w:left="360"/>
              <w:contextualSpacing/>
              <w:jc w:val="both"/>
              <w:rPr>
                <w:color w:val="auto"/>
              </w:rPr>
            </w:pPr>
            <w:r w:rsidRPr="00A95A34">
              <w:rPr>
                <w:color w:val="auto"/>
              </w:rPr>
              <w:t>Approve with major revision</w:t>
            </w:r>
          </w:p>
        </w:tc>
      </w:tr>
      <w:tr w:rsidR="00A95A34" w:rsidRPr="00A95A34" w:rsidTr="009164F1">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4F1" w:rsidRPr="00A95A34" w:rsidRDefault="009164F1" w:rsidP="00A95A34">
            <w:pPr>
              <w:spacing w:after="0" w:line="240" w:lineRule="auto"/>
              <w:rPr>
                <w:b/>
                <w:bCs/>
                <w:i/>
                <w:color w:val="auto"/>
              </w:rPr>
            </w:pPr>
            <w:r w:rsidRPr="00A95A34">
              <w:rPr>
                <w:b/>
                <w:bCs/>
                <w:i/>
                <w:color w:val="auto"/>
              </w:rPr>
              <w:t>Mid-term</w:t>
            </w:r>
          </w:p>
        </w:tc>
        <w:tc>
          <w:tcPr>
            <w:tcW w:w="2970" w:type="dxa"/>
            <w:tcBorders>
              <w:top w:val="nil"/>
              <w:left w:val="nil"/>
              <w:bottom w:val="single" w:sz="8" w:space="0" w:color="auto"/>
              <w:right w:val="single" w:sz="8" w:space="0" w:color="auto"/>
            </w:tcBorders>
          </w:tcPr>
          <w:p w:rsidR="009164F1" w:rsidRPr="00A95A34" w:rsidRDefault="009164F1" w:rsidP="00347753">
            <w:pPr>
              <w:spacing w:after="0" w:line="240" w:lineRule="auto"/>
              <w:ind w:left="360"/>
              <w:jc w:val="both"/>
              <w:rPr>
                <w:color w:val="auto"/>
              </w:rPr>
            </w:pPr>
          </w:p>
        </w:tc>
      </w:tr>
      <w:tr w:rsidR="00A95A34" w:rsidRPr="00A95A34" w:rsidTr="009164F1">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4F1" w:rsidRPr="00A95A34" w:rsidRDefault="009164F1" w:rsidP="00A95A34">
            <w:pPr>
              <w:spacing w:after="0" w:line="240" w:lineRule="auto"/>
              <w:rPr>
                <w:color w:val="auto"/>
              </w:rPr>
            </w:pPr>
            <w:r w:rsidRPr="00A95A34">
              <w:rPr>
                <w:color w:val="auto"/>
              </w:rPr>
              <w:t>NC229: Detection and control of PRRS and emerging viral diseases of swine</w:t>
            </w:r>
          </w:p>
        </w:tc>
        <w:tc>
          <w:tcPr>
            <w:tcW w:w="2970" w:type="dxa"/>
            <w:tcBorders>
              <w:top w:val="nil"/>
              <w:left w:val="nil"/>
              <w:bottom w:val="single" w:sz="8" w:space="0" w:color="auto"/>
              <w:right w:val="single" w:sz="8" w:space="0" w:color="auto"/>
            </w:tcBorders>
            <w:hideMark/>
          </w:tcPr>
          <w:p w:rsidR="009164F1" w:rsidRPr="00A95A34" w:rsidRDefault="009164F1" w:rsidP="00347753">
            <w:pPr>
              <w:spacing w:after="0" w:line="240" w:lineRule="auto"/>
              <w:ind w:left="360"/>
              <w:contextualSpacing/>
              <w:jc w:val="both"/>
              <w:rPr>
                <w:color w:val="auto"/>
              </w:rPr>
            </w:pPr>
            <w:r w:rsidRPr="00A95A34">
              <w:rPr>
                <w:color w:val="auto"/>
              </w:rPr>
              <w:t>Approve with minor revision</w:t>
            </w:r>
          </w:p>
        </w:tc>
      </w:tr>
      <w:tr w:rsidR="00A95A34" w:rsidRPr="00A95A34" w:rsidTr="009164F1">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4F1" w:rsidRPr="00A95A34" w:rsidRDefault="009164F1" w:rsidP="00A95A34">
            <w:pPr>
              <w:spacing w:after="0" w:line="240" w:lineRule="auto"/>
              <w:rPr>
                <w:color w:val="auto"/>
              </w:rPr>
            </w:pPr>
            <w:r w:rsidRPr="00347753">
              <w:rPr>
                <w:color w:val="auto"/>
              </w:rPr>
              <w:t>NCCC209: Agricultural bioethics</w:t>
            </w:r>
          </w:p>
        </w:tc>
        <w:tc>
          <w:tcPr>
            <w:tcW w:w="2970" w:type="dxa"/>
            <w:tcBorders>
              <w:top w:val="nil"/>
              <w:left w:val="nil"/>
              <w:bottom w:val="single" w:sz="8" w:space="0" w:color="auto"/>
              <w:right w:val="single" w:sz="8" w:space="0" w:color="auto"/>
            </w:tcBorders>
            <w:hideMark/>
          </w:tcPr>
          <w:p w:rsidR="009164F1" w:rsidRPr="00A95A34" w:rsidRDefault="009164F1" w:rsidP="00347753">
            <w:pPr>
              <w:spacing w:after="0" w:line="240" w:lineRule="auto"/>
              <w:ind w:left="360"/>
              <w:contextualSpacing/>
              <w:jc w:val="both"/>
              <w:rPr>
                <w:color w:val="auto"/>
              </w:rPr>
            </w:pPr>
            <w:r w:rsidRPr="00A95A34">
              <w:rPr>
                <w:color w:val="auto"/>
              </w:rPr>
              <w:t>Inactivate</w:t>
            </w:r>
          </w:p>
        </w:tc>
      </w:tr>
      <w:tr w:rsidR="00A95A34" w:rsidRPr="00A95A34" w:rsidTr="009164F1">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4F1" w:rsidRPr="00A95A34" w:rsidRDefault="009164F1" w:rsidP="00A95A34">
            <w:pPr>
              <w:spacing w:after="0" w:line="240" w:lineRule="auto"/>
              <w:rPr>
                <w:color w:val="auto"/>
              </w:rPr>
            </w:pPr>
            <w:r w:rsidRPr="00A95A34">
              <w:rPr>
                <w:color w:val="auto"/>
              </w:rPr>
              <w:t>NCERA57: Swine reproductive physiology</w:t>
            </w:r>
          </w:p>
        </w:tc>
        <w:tc>
          <w:tcPr>
            <w:tcW w:w="2970" w:type="dxa"/>
            <w:tcBorders>
              <w:top w:val="nil"/>
              <w:left w:val="nil"/>
              <w:bottom w:val="single" w:sz="8" w:space="0" w:color="auto"/>
              <w:right w:val="single" w:sz="8" w:space="0" w:color="auto"/>
            </w:tcBorders>
            <w:hideMark/>
          </w:tcPr>
          <w:p w:rsidR="009164F1" w:rsidRPr="00A95A34" w:rsidRDefault="009164F1" w:rsidP="00347753">
            <w:pPr>
              <w:spacing w:after="0" w:line="240" w:lineRule="auto"/>
              <w:ind w:left="360"/>
              <w:contextualSpacing/>
              <w:jc w:val="both"/>
              <w:rPr>
                <w:color w:val="auto"/>
              </w:rPr>
            </w:pPr>
            <w:r w:rsidRPr="00A95A34">
              <w:rPr>
                <w:color w:val="auto"/>
              </w:rPr>
              <w:t>Approve</w:t>
            </w:r>
          </w:p>
        </w:tc>
      </w:tr>
    </w:tbl>
    <w:p w:rsidR="009164F1" w:rsidRPr="00A95A34" w:rsidRDefault="009164F1" w:rsidP="00A95A34">
      <w:pPr>
        <w:spacing w:after="0" w:line="240" w:lineRule="auto"/>
        <w:rPr>
          <w:color w:val="auto"/>
        </w:rPr>
      </w:pPr>
    </w:p>
    <w:p w:rsidR="00EB3EB4" w:rsidRPr="00A95A34" w:rsidRDefault="00EB3EB4" w:rsidP="00A95A34">
      <w:pPr>
        <w:spacing w:after="0" w:line="240" w:lineRule="auto"/>
        <w:rPr>
          <w:color w:val="auto"/>
        </w:rPr>
      </w:pPr>
    </w:p>
    <w:sectPr w:rsidR="00EB3EB4" w:rsidRPr="00A95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846B2"/>
    <w:multiLevelType w:val="hybridMultilevel"/>
    <w:tmpl w:val="17A8EC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182A9E"/>
    <w:multiLevelType w:val="hybridMultilevel"/>
    <w:tmpl w:val="C81EB6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F9241A"/>
    <w:multiLevelType w:val="hybridMultilevel"/>
    <w:tmpl w:val="103E78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F845B7"/>
    <w:multiLevelType w:val="hybridMultilevel"/>
    <w:tmpl w:val="90A23A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6D55D1"/>
    <w:multiLevelType w:val="hybridMultilevel"/>
    <w:tmpl w:val="ED22E7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F1"/>
    <w:rsid w:val="002F5D06"/>
    <w:rsid w:val="00347753"/>
    <w:rsid w:val="009164F1"/>
    <w:rsid w:val="00A1060A"/>
    <w:rsid w:val="00A95A34"/>
    <w:rsid w:val="00EB3EB4"/>
    <w:rsid w:val="00F1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17BFD-5B0F-46BE-9E0C-50117434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4F1"/>
    <w:pPr>
      <w:spacing w:after="200" w:line="276"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5067">
      <w:bodyDiv w:val="1"/>
      <w:marLeft w:val="0"/>
      <w:marRight w:val="0"/>
      <w:marTop w:val="0"/>
      <w:marBottom w:val="0"/>
      <w:divBdr>
        <w:top w:val="none" w:sz="0" w:space="0" w:color="auto"/>
        <w:left w:val="none" w:sz="0" w:space="0" w:color="auto"/>
        <w:bottom w:val="none" w:sz="0" w:space="0" w:color="auto"/>
        <w:right w:val="none" w:sz="0" w:space="0" w:color="auto"/>
      </w:divBdr>
    </w:div>
    <w:div w:id="1140998344">
      <w:bodyDiv w:val="1"/>
      <w:marLeft w:val="0"/>
      <w:marRight w:val="0"/>
      <w:marTop w:val="0"/>
      <w:marBottom w:val="0"/>
      <w:divBdr>
        <w:top w:val="none" w:sz="0" w:space="0" w:color="auto"/>
        <w:left w:val="none" w:sz="0" w:space="0" w:color="auto"/>
        <w:bottom w:val="none" w:sz="0" w:space="0" w:color="auto"/>
        <w:right w:val="none" w:sz="0" w:space="0" w:color="auto"/>
      </w:divBdr>
    </w:div>
    <w:div w:id="14746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 Veterinary Medicine</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John R.</dc:creator>
  <cp:keywords/>
  <dc:description/>
  <cp:lastModifiedBy>Middleton, John R.</cp:lastModifiedBy>
  <cp:revision>1</cp:revision>
  <dcterms:created xsi:type="dcterms:W3CDTF">2017-03-16T18:03:00Z</dcterms:created>
  <dcterms:modified xsi:type="dcterms:W3CDTF">2017-03-16T19:03:00Z</dcterms:modified>
</cp:coreProperties>
</file>