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2C1A" w14:textId="74C258A0" w:rsidR="00A97E3D" w:rsidRPr="00462299" w:rsidRDefault="00A97E3D" w:rsidP="004827B0">
      <w:pPr>
        <w:jc w:val="center"/>
        <w:rPr>
          <w:rFonts w:eastAsia="Arial Unicode MS"/>
          <w:b/>
          <w:bCs/>
        </w:rPr>
      </w:pPr>
      <w:r w:rsidRPr="00462299">
        <w:rPr>
          <w:rFonts w:eastAsia="Arial Unicode MS"/>
          <w:b/>
          <w:bCs/>
        </w:rPr>
        <w:t>ANNUAL REPORT OF COOPERATIVE REGIONAL RESEARCH PROJECT NE</w:t>
      </w:r>
      <w:r w:rsidR="004827B0">
        <w:rPr>
          <w:rFonts w:eastAsia="Arial Unicode MS"/>
          <w:b/>
          <w:bCs/>
        </w:rPr>
        <w:t>-</w:t>
      </w:r>
      <w:r w:rsidRPr="00462299">
        <w:rPr>
          <w:rFonts w:eastAsia="Arial Unicode MS"/>
          <w:b/>
          <w:bCs/>
        </w:rPr>
        <w:t>2</w:t>
      </w:r>
      <w:r w:rsidR="004827B0">
        <w:rPr>
          <w:rFonts w:eastAsia="Arial Unicode MS"/>
          <w:b/>
          <w:bCs/>
        </w:rPr>
        <w:t>22</w:t>
      </w:r>
      <w:r w:rsidRPr="00462299">
        <w:rPr>
          <w:rFonts w:eastAsia="Arial Unicode MS"/>
          <w:b/>
          <w:bCs/>
        </w:rPr>
        <w:t>7</w:t>
      </w:r>
    </w:p>
    <w:p w14:paraId="1F3B8AE2" w14:textId="1BDE6D4F" w:rsidR="00A97E3D" w:rsidRPr="004D6977" w:rsidRDefault="004827B0" w:rsidP="004827B0">
      <w:pPr>
        <w:jc w:val="center"/>
        <w:rPr>
          <w:rFonts w:eastAsia="Arial Unicode MS"/>
          <w:b/>
          <w:color w:val="FF0000"/>
        </w:rPr>
      </w:pPr>
      <w:r>
        <w:rPr>
          <w:rFonts w:eastAsia="Arial Unicode MS"/>
          <w:b/>
        </w:rPr>
        <w:t xml:space="preserve">University of </w:t>
      </w:r>
      <w:r w:rsidRPr="004D6977">
        <w:rPr>
          <w:rFonts w:eastAsia="Arial Unicode MS"/>
          <w:b/>
          <w:color w:val="FF0000"/>
        </w:rPr>
        <w:t>XXXXXXXX</w:t>
      </w:r>
    </w:p>
    <w:p w14:paraId="4A4BC4BC" w14:textId="121D5673" w:rsidR="00A97E3D" w:rsidRPr="00462299" w:rsidRDefault="00A97E3D" w:rsidP="004827B0">
      <w:pPr>
        <w:jc w:val="center"/>
        <w:rPr>
          <w:rFonts w:eastAsia="Arial Unicode MS"/>
          <w:b/>
        </w:rPr>
      </w:pPr>
      <w:r>
        <w:rPr>
          <w:rFonts w:eastAsia="Arial Unicode MS"/>
          <w:b/>
        </w:rPr>
        <w:t xml:space="preserve">Department </w:t>
      </w:r>
      <w:r w:rsidR="004827B0">
        <w:rPr>
          <w:rFonts w:eastAsia="Arial Unicode MS"/>
          <w:b/>
        </w:rPr>
        <w:t xml:space="preserve">of </w:t>
      </w:r>
      <w:r w:rsidR="004827B0" w:rsidRPr="004D6977">
        <w:rPr>
          <w:rFonts w:eastAsia="Arial Unicode MS"/>
          <w:b/>
          <w:color w:val="FF0000"/>
        </w:rPr>
        <w:t>XXXXXXXX</w:t>
      </w:r>
    </w:p>
    <w:p w14:paraId="57C748D2" w14:textId="3BEF274C" w:rsidR="00A97E3D" w:rsidRPr="00462299" w:rsidRDefault="00A97E3D" w:rsidP="004827B0">
      <w:pPr>
        <w:spacing w:after="240"/>
        <w:jc w:val="center"/>
        <w:rPr>
          <w:rFonts w:eastAsia="Arial Unicode MS"/>
          <w:b/>
        </w:rPr>
      </w:pPr>
      <w:r w:rsidRPr="00462299">
        <w:rPr>
          <w:rFonts w:eastAsia="Arial Unicode MS"/>
          <w:b/>
        </w:rPr>
        <w:t>20</w:t>
      </w:r>
      <w:r w:rsidR="00BF6253">
        <w:rPr>
          <w:rFonts w:eastAsia="Arial Unicode MS"/>
          <w:b/>
        </w:rPr>
        <w:t>2</w:t>
      </w:r>
      <w:r w:rsidR="004D6977">
        <w:rPr>
          <w:rFonts w:eastAsia="Arial Unicode MS"/>
          <w:b/>
        </w:rPr>
        <w:t>2</w:t>
      </w:r>
      <w:r w:rsidRPr="00462299">
        <w:rPr>
          <w:rFonts w:eastAsia="Arial Unicode MS"/>
          <w:b/>
        </w:rPr>
        <w:t xml:space="preserve"> Annual Report</w:t>
      </w:r>
    </w:p>
    <w:p w14:paraId="5F492504" w14:textId="13B4BB77" w:rsidR="009C73FD" w:rsidRDefault="00A97E3D" w:rsidP="004827B0">
      <w:pPr>
        <w:jc w:val="both"/>
        <w:rPr>
          <w:b/>
          <w:bCs/>
        </w:rPr>
      </w:pPr>
      <w:r w:rsidRPr="00093C83">
        <w:rPr>
          <w:rFonts w:eastAsia="Arial Unicode MS"/>
          <w:b/>
          <w:iCs/>
        </w:rPr>
        <w:t>Project:</w:t>
      </w:r>
      <w:r w:rsidRPr="00462299">
        <w:rPr>
          <w:rFonts w:eastAsia="Arial Unicode MS"/>
        </w:rPr>
        <w:t xml:space="preserve">  NE-</w:t>
      </w:r>
      <w:r w:rsidR="004827B0">
        <w:rPr>
          <w:rFonts w:eastAsia="Arial Unicode MS"/>
        </w:rPr>
        <w:t>22</w:t>
      </w:r>
      <w:r w:rsidRPr="00462299">
        <w:rPr>
          <w:rFonts w:eastAsia="Arial Unicode MS"/>
        </w:rPr>
        <w:t xml:space="preserve">27, </w:t>
      </w:r>
      <w:r w:rsidR="004827B0" w:rsidRPr="004827B0">
        <w:t>Contribution of Ovarian Function, Uterine Receptivity, and Embryo Quality to Pregnancy Success in Ruminants</w:t>
      </w:r>
    </w:p>
    <w:p w14:paraId="6E628CC5" w14:textId="77777777" w:rsidR="004827B0" w:rsidRDefault="004827B0" w:rsidP="004827B0">
      <w:pPr>
        <w:pStyle w:val="Heading2"/>
        <w:kinsoku w:val="0"/>
        <w:overflowPunct w:val="0"/>
        <w:spacing w:line="274" w:lineRule="exact"/>
        <w:ind w:left="0"/>
        <w:rPr>
          <w:i w:val="0"/>
          <w:iCs w:val="0"/>
        </w:rPr>
      </w:pPr>
    </w:p>
    <w:p w14:paraId="141DE8CA" w14:textId="7ABE3775" w:rsidR="009C73FD" w:rsidRPr="00093C83" w:rsidRDefault="009C73FD" w:rsidP="004827B0">
      <w:pPr>
        <w:pStyle w:val="Heading2"/>
        <w:kinsoku w:val="0"/>
        <w:overflowPunct w:val="0"/>
        <w:spacing w:line="274" w:lineRule="exact"/>
        <w:ind w:left="0"/>
        <w:rPr>
          <w:b w:val="0"/>
          <w:bCs w:val="0"/>
          <w:i w:val="0"/>
          <w:iCs w:val="0"/>
        </w:rPr>
      </w:pPr>
      <w:r w:rsidRPr="00093C83">
        <w:rPr>
          <w:i w:val="0"/>
          <w:iCs w:val="0"/>
        </w:rPr>
        <w:t>Participants</w:t>
      </w:r>
      <w:r w:rsidRPr="00093C83">
        <w:rPr>
          <w:i w:val="0"/>
          <w:iCs w:val="0"/>
          <w:spacing w:val="1"/>
        </w:rPr>
        <w:t xml:space="preserve"> </w:t>
      </w:r>
      <w:r w:rsidRPr="00093C83">
        <w:rPr>
          <w:i w:val="0"/>
          <w:iCs w:val="0"/>
        </w:rPr>
        <w:t>(FTE)</w:t>
      </w:r>
    </w:p>
    <w:p w14:paraId="5A785B28" w14:textId="6D5B820F" w:rsidR="009C73FD" w:rsidRDefault="009C73FD" w:rsidP="004827B0">
      <w:pPr>
        <w:pStyle w:val="BodyText"/>
        <w:kinsoku w:val="0"/>
        <w:overflowPunct w:val="0"/>
        <w:ind w:left="0" w:right="109"/>
        <w:rPr>
          <w:spacing w:val="-1"/>
        </w:rPr>
      </w:pPr>
      <w:r>
        <w:rPr>
          <w:spacing w:val="1"/>
        </w:rPr>
        <w:t>PI</w:t>
      </w:r>
      <w:r>
        <w:rPr>
          <w:spacing w:val="-2"/>
        </w:rPr>
        <w:t xml:space="preserve"> </w:t>
      </w:r>
      <w:r w:rsidR="00BF6253">
        <w:t>–</w:t>
      </w:r>
      <w:r>
        <w:rPr>
          <w:spacing w:val="-1"/>
        </w:rPr>
        <w:t xml:space="preserve"> </w:t>
      </w:r>
      <w:r w:rsidR="004827B0" w:rsidRPr="004D6977">
        <w:rPr>
          <w:color w:val="FF0000"/>
          <w:spacing w:val="-1"/>
        </w:rPr>
        <w:t>XXXXXXXX</w:t>
      </w:r>
      <w:r>
        <w:t xml:space="preserve"> (0.</w:t>
      </w:r>
      <w:r w:rsidR="004827B0" w:rsidRPr="004D6977">
        <w:rPr>
          <w:color w:val="FF0000"/>
        </w:rPr>
        <w:t>X</w:t>
      </w:r>
      <w:r>
        <w:t>)</w:t>
      </w:r>
      <w:r w:rsidR="00BF6253">
        <w:t xml:space="preserve"> </w:t>
      </w:r>
      <w:r w:rsidR="004827B0">
        <w:t xml:space="preserve">University of </w:t>
      </w:r>
      <w:r w:rsidR="004827B0" w:rsidRPr="004D6977">
        <w:rPr>
          <w:color w:val="FF0000"/>
        </w:rPr>
        <w:t>XXXXXXXX</w:t>
      </w:r>
      <w:r>
        <w:rPr>
          <w:spacing w:val="-1"/>
        </w:rPr>
        <w:t>;</w:t>
      </w:r>
      <w:r w:rsidR="001C2192">
        <w:t xml:space="preserve"> </w:t>
      </w:r>
      <w:r>
        <w:rPr>
          <w:spacing w:val="-1"/>
        </w:rPr>
        <w:t>Graduate</w:t>
      </w:r>
      <w:r>
        <w:t xml:space="preserve"> </w:t>
      </w:r>
      <w:r>
        <w:rPr>
          <w:spacing w:val="-1"/>
        </w:rPr>
        <w:t>students</w:t>
      </w:r>
      <w:r w:rsidR="00BF6253">
        <w:rPr>
          <w:spacing w:val="-1"/>
        </w:rPr>
        <w:t xml:space="preserve"> at</w:t>
      </w:r>
      <w:r>
        <w:t xml:space="preserve"> </w:t>
      </w:r>
      <w:r w:rsidR="004827B0">
        <w:t xml:space="preserve">University of </w:t>
      </w:r>
      <w:r w:rsidR="004827B0" w:rsidRPr="004D6977">
        <w:rPr>
          <w:color w:val="FF0000"/>
        </w:rPr>
        <w:t>XXXXXXXX</w:t>
      </w:r>
      <w:r w:rsidR="00A97E3D">
        <w:t>:</w:t>
      </w:r>
      <w:r w:rsidR="00BF6253">
        <w:t xml:space="preserve"> </w:t>
      </w:r>
      <w:r w:rsidR="004827B0" w:rsidRPr="004D6977">
        <w:rPr>
          <w:color w:val="FF0000"/>
        </w:rPr>
        <w:t>XXXXXX</w:t>
      </w:r>
      <w:r w:rsidR="00BF6253">
        <w:t>; Undergraduate students at</w:t>
      </w:r>
      <w:r>
        <w:t xml:space="preserve"> </w:t>
      </w:r>
      <w:r w:rsidR="004827B0">
        <w:t>t</w:t>
      </w:r>
      <w:r w:rsidR="00BF6253">
        <w:t>he University</w:t>
      </w:r>
      <w:r w:rsidR="004827B0">
        <w:t xml:space="preserve"> of </w:t>
      </w:r>
      <w:r w:rsidR="004827B0" w:rsidRPr="004D6977">
        <w:rPr>
          <w:color w:val="FF0000"/>
        </w:rPr>
        <w:t>XXXXXX</w:t>
      </w:r>
      <w:r w:rsidR="00BF6253">
        <w:t xml:space="preserve">: </w:t>
      </w:r>
      <w:r w:rsidR="004827B0" w:rsidRPr="004D6977">
        <w:rPr>
          <w:color w:val="FF0000"/>
          <w:spacing w:val="-1"/>
        </w:rPr>
        <w:t>XXXXXXXXX</w:t>
      </w:r>
    </w:p>
    <w:p w14:paraId="564DFC33" w14:textId="77777777" w:rsidR="009C73FD" w:rsidRDefault="009C73FD" w:rsidP="004827B0">
      <w:pPr>
        <w:pStyle w:val="BodyText"/>
        <w:kinsoku w:val="0"/>
        <w:overflowPunct w:val="0"/>
        <w:spacing w:before="5"/>
        <w:ind w:left="0"/>
      </w:pPr>
    </w:p>
    <w:p w14:paraId="08D1153C" w14:textId="77777777" w:rsidR="009C73FD" w:rsidRPr="00093C83" w:rsidRDefault="009C73FD" w:rsidP="004827B0">
      <w:pPr>
        <w:pStyle w:val="Heading2"/>
        <w:kinsoku w:val="0"/>
        <w:overflowPunct w:val="0"/>
        <w:spacing w:line="274" w:lineRule="exact"/>
        <w:ind w:left="0"/>
        <w:rPr>
          <w:b w:val="0"/>
          <w:bCs w:val="0"/>
          <w:i w:val="0"/>
          <w:iCs w:val="0"/>
        </w:rPr>
      </w:pPr>
      <w:r w:rsidRPr="00093C83">
        <w:rPr>
          <w:i w:val="0"/>
          <w:iCs w:val="0"/>
          <w:spacing w:val="-1"/>
        </w:rPr>
        <w:t>Target</w:t>
      </w:r>
      <w:r w:rsidRPr="00093C83">
        <w:rPr>
          <w:i w:val="0"/>
          <w:iCs w:val="0"/>
        </w:rPr>
        <w:t xml:space="preserve"> </w:t>
      </w:r>
      <w:r w:rsidRPr="00093C83">
        <w:rPr>
          <w:i w:val="0"/>
          <w:iCs w:val="0"/>
          <w:spacing w:val="-1"/>
        </w:rPr>
        <w:t>Audience</w:t>
      </w:r>
    </w:p>
    <w:p w14:paraId="58285711" w14:textId="335D88E0" w:rsidR="009C73FD" w:rsidRPr="00FE30AD" w:rsidRDefault="009C73FD" w:rsidP="004827B0">
      <w:pPr>
        <w:pStyle w:val="BodyText"/>
        <w:kinsoku w:val="0"/>
        <w:overflowPunct w:val="0"/>
        <w:ind w:left="0" w:right="109"/>
        <w:rPr>
          <w:color w:val="FF0000"/>
          <w:spacing w:val="-1"/>
        </w:rPr>
      </w:pPr>
      <w:r>
        <w:rPr>
          <w:i/>
          <w:iCs/>
          <w:spacing w:val="-1"/>
          <w:u w:val="single"/>
        </w:rPr>
        <w:t>Target</w:t>
      </w:r>
      <w:r>
        <w:rPr>
          <w:i/>
          <w:iCs/>
          <w:u w:val="single"/>
        </w:rPr>
        <w:t xml:space="preserve"> </w:t>
      </w:r>
      <w:r>
        <w:rPr>
          <w:i/>
          <w:iCs/>
          <w:spacing w:val="-1"/>
          <w:u w:val="single"/>
        </w:rPr>
        <w:t>Audiences:</w:t>
      </w:r>
      <w:r w:rsidR="00CB5A29">
        <w:rPr>
          <w:i/>
          <w:iCs/>
          <w:spacing w:val="-1"/>
        </w:rPr>
        <w:t xml:space="preserve"> </w:t>
      </w:r>
      <w:r w:rsidR="00B70C09" w:rsidRPr="00FE30AD">
        <w:rPr>
          <w:i/>
          <w:iCs/>
          <w:color w:val="FF0000"/>
          <w:spacing w:val="-1"/>
        </w:rPr>
        <w:t xml:space="preserve">(e.g., </w:t>
      </w:r>
      <w:r w:rsidR="00CB5A29" w:rsidRPr="00FE30AD">
        <w:rPr>
          <w:color w:val="FF0000"/>
          <w:spacing w:val="-1"/>
        </w:rPr>
        <w:t xml:space="preserve">Scientists working in similar areas of reproductive physiology and management. Local and regional stakeholders (veterinarians, </w:t>
      </w:r>
      <w:r w:rsidR="00857BD4" w:rsidRPr="00FE30AD">
        <w:rPr>
          <w:color w:val="FF0000"/>
          <w:spacing w:val="-1"/>
        </w:rPr>
        <w:t>producers,</w:t>
      </w:r>
      <w:r w:rsidR="00CB5A29" w:rsidRPr="00FE30AD">
        <w:rPr>
          <w:color w:val="FF0000"/>
          <w:spacing w:val="-1"/>
        </w:rPr>
        <w:t xml:space="preserve"> and relevant industry companies) working in both beef and dairy cattle. Undergraduate and graduate students in animal science and veterinary medicine</w:t>
      </w:r>
      <w:r w:rsidR="00B70C09" w:rsidRPr="00FE30AD">
        <w:rPr>
          <w:color w:val="FF0000"/>
          <w:spacing w:val="-1"/>
        </w:rPr>
        <w:t>.)</w:t>
      </w:r>
    </w:p>
    <w:p w14:paraId="1EA110D4" w14:textId="0108381E" w:rsidR="009C73FD" w:rsidRPr="00FE30AD" w:rsidRDefault="009C73FD" w:rsidP="004827B0">
      <w:pPr>
        <w:pStyle w:val="BodyText"/>
        <w:kinsoku w:val="0"/>
        <w:overflowPunct w:val="0"/>
        <w:spacing w:before="137"/>
        <w:ind w:left="0" w:right="271"/>
        <w:rPr>
          <w:color w:val="FF0000"/>
        </w:rPr>
      </w:pPr>
      <w:r>
        <w:rPr>
          <w:i/>
          <w:iCs/>
          <w:u w:val="single"/>
        </w:rPr>
        <w:t>Efforts:</w:t>
      </w:r>
      <w:r w:rsidRPr="00B70C09">
        <w:rPr>
          <w:i/>
          <w:iCs/>
          <w:spacing w:val="-1"/>
        </w:rPr>
        <w:t xml:space="preserve"> </w:t>
      </w:r>
      <w:r w:rsidR="00B70C09" w:rsidRPr="00FE30AD">
        <w:rPr>
          <w:color w:val="FF0000"/>
          <w:spacing w:val="-1"/>
        </w:rPr>
        <w:t xml:space="preserve">(e.g., </w:t>
      </w:r>
      <w:r w:rsidR="00093C83" w:rsidRPr="00FE30AD">
        <w:rPr>
          <w:color w:val="FF0000"/>
          <w:spacing w:val="-1"/>
        </w:rPr>
        <w:t>Manuscripts in peer-reviewed scientific journals, abstracts and posters at scientific conferences, presentations</w:t>
      </w:r>
      <w:r w:rsidRPr="00FE30AD">
        <w:rPr>
          <w:color w:val="FF0000"/>
        </w:rPr>
        <w:t xml:space="preserve"> at</w:t>
      </w:r>
      <w:r w:rsidRPr="00FE30AD">
        <w:rPr>
          <w:color w:val="FF0000"/>
          <w:spacing w:val="2"/>
        </w:rPr>
        <w:t xml:space="preserve"> </w:t>
      </w:r>
      <w:r w:rsidRPr="00FE30AD">
        <w:rPr>
          <w:color w:val="FF0000"/>
          <w:spacing w:val="-1"/>
        </w:rPr>
        <w:t>scientific</w:t>
      </w:r>
      <w:r w:rsidR="00807942" w:rsidRPr="00FE30AD">
        <w:rPr>
          <w:color w:val="FF0000"/>
          <w:spacing w:val="-1"/>
        </w:rPr>
        <w:t xml:space="preserve"> </w:t>
      </w:r>
      <w:r w:rsidRPr="00FE30AD">
        <w:rPr>
          <w:color w:val="FF0000"/>
          <w:spacing w:val="-1"/>
        </w:rPr>
        <w:t>conferences</w:t>
      </w:r>
      <w:r w:rsidR="00093C83" w:rsidRPr="00FE30AD">
        <w:rPr>
          <w:color w:val="FF0000"/>
          <w:spacing w:val="-1"/>
        </w:rPr>
        <w:t>,</w:t>
      </w:r>
      <w:r w:rsidRPr="00FE30AD">
        <w:rPr>
          <w:color w:val="FF0000"/>
        </w:rPr>
        <w:t xml:space="preserve"> </w:t>
      </w:r>
      <w:r w:rsidR="00093C83" w:rsidRPr="00FE30AD">
        <w:rPr>
          <w:color w:val="FF0000"/>
        </w:rPr>
        <w:t>industry, and commodity group</w:t>
      </w:r>
      <w:r w:rsidRPr="00FE30AD">
        <w:rPr>
          <w:color w:val="FF0000"/>
          <w:spacing w:val="-3"/>
        </w:rPr>
        <w:t xml:space="preserve"> </w:t>
      </w:r>
      <w:r w:rsidRPr="00FE30AD">
        <w:rPr>
          <w:color w:val="FF0000"/>
          <w:spacing w:val="-1"/>
        </w:rPr>
        <w:t>meetings</w:t>
      </w:r>
      <w:r w:rsidR="00093C83" w:rsidRPr="00FE30AD">
        <w:rPr>
          <w:color w:val="FF0000"/>
          <w:spacing w:val="-1"/>
        </w:rPr>
        <w:t>. Undergraduate and graduate</w:t>
      </w:r>
      <w:r w:rsidRPr="00FE30AD">
        <w:rPr>
          <w:color w:val="FF0000"/>
          <w:spacing w:val="2"/>
        </w:rPr>
        <w:t xml:space="preserve"> </w:t>
      </w:r>
      <w:r w:rsidR="00094CFA" w:rsidRPr="00FE30AD">
        <w:rPr>
          <w:color w:val="FF0000"/>
          <w:spacing w:val="-1"/>
        </w:rPr>
        <w:t>f</w:t>
      </w:r>
      <w:r w:rsidRPr="00FE30AD">
        <w:rPr>
          <w:color w:val="FF0000"/>
          <w:spacing w:val="-1"/>
        </w:rPr>
        <w:t>ormal</w:t>
      </w:r>
      <w:r w:rsidRPr="00FE30AD">
        <w:rPr>
          <w:color w:val="FF0000"/>
        </w:rPr>
        <w:t xml:space="preserve"> classroom</w:t>
      </w:r>
      <w:r w:rsidRPr="00FE30AD">
        <w:rPr>
          <w:color w:val="FF0000"/>
          <w:spacing w:val="1"/>
        </w:rPr>
        <w:t xml:space="preserve"> </w:t>
      </w:r>
      <w:r w:rsidRPr="00FE30AD">
        <w:rPr>
          <w:color w:val="FF0000"/>
          <w:spacing w:val="-1"/>
        </w:rPr>
        <w:t>and</w:t>
      </w:r>
      <w:r w:rsidRPr="00FE30AD">
        <w:rPr>
          <w:color w:val="FF0000"/>
        </w:rPr>
        <w:t xml:space="preserve"> laboratory</w:t>
      </w:r>
      <w:r w:rsidRPr="00FE30AD">
        <w:rPr>
          <w:color w:val="FF0000"/>
          <w:spacing w:val="-5"/>
        </w:rPr>
        <w:t xml:space="preserve"> </w:t>
      </w:r>
      <w:r w:rsidRPr="00FE30AD">
        <w:rPr>
          <w:color w:val="FF0000"/>
        </w:rPr>
        <w:t>instruction</w:t>
      </w:r>
      <w:r w:rsidR="00093C83" w:rsidRPr="00FE30AD">
        <w:rPr>
          <w:color w:val="FF0000"/>
        </w:rPr>
        <w:t>. Direct interaction with producers, veterinarians, and other relevant stakeholders locally, nationally, and internationally.</w:t>
      </w:r>
      <w:r w:rsidR="00B70C09" w:rsidRPr="00FE30AD">
        <w:rPr>
          <w:color w:val="FF0000"/>
        </w:rPr>
        <w:t>)</w:t>
      </w:r>
    </w:p>
    <w:p w14:paraId="240F4CD7" w14:textId="77777777" w:rsidR="009C73FD" w:rsidRDefault="009C73FD" w:rsidP="004827B0">
      <w:pPr>
        <w:pStyle w:val="BodyText"/>
        <w:kinsoku w:val="0"/>
        <w:overflowPunct w:val="0"/>
        <w:spacing w:before="5"/>
        <w:ind w:left="0"/>
      </w:pPr>
    </w:p>
    <w:p w14:paraId="7A0393F1" w14:textId="77777777" w:rsidR="009C73FD" w:rsidRPr="00147898" w:rsidRDefault="009C73FD" w:rsidP="004827B0">
      <w:pPr>
        <w:pStyle w:val="Heading2"/>
        <w:kinsoku w:val="0"/>
        <w:overflowPunct w:val="0"/>
        <w:spacing w:after="120"/>
        <w:ind w:left="0"/>
        <w:rPr>
          <w:b w:val="0"/>
          <w:bCs w:val="0"/>
          <w:i w:val="0"/>
          <w:iCs w:val="0"/>
        </w:rPr>
      </w:pPr>
      <w:r w:rsidRPr="00147898">
        <w:rPr>
          <w:i w:val="0"/>
          <w:spacing w:val="-1"/>
        </w:rPr>
        <w:t>Products:</w:t>
      </w:r>
    </w:p>
    <w:p w14:paraId="511F66B0" w14:textId="3E5AA543" w:rsidR="00147898" w:rsidRDefault="00147898" w:rsidP="004E5407">
      <w:pPr>
        <w:ind w:left="270" w:hanging="270"/>
        <w:rPr>
          <w:i/>
          <w:u w:val="single"/>
        </w:rPr>
      </w:pPr>
      <w:r w:rsidRPr="00A76226">
        <w:rPr>
          <w:i/>
          <w:u w:val="single"/>
        </w:rPr>
        <w:t>Peer-reviewed Manuscripts</w:t>
      </w:r>
      <w:r w:rsidR="00174541">
        <w:rPr>
          <w:i/>
          <w:u w:val="single"/>
        </w:rPr>
        <w:t xml:space="preserve"> </w:t>
      </w:r>
      <w:r w:rsidR="00FB3EE4">
        <w:rPr>
          <w:i/>
          <w:u w:val="single"/>
        </w:rPr>
        <w:t>(202</w:t>
      </w:r>
      <w:r w:rsidR="004D6977">
        <w:rPr>
          <w:i/>
          <w:u w:val="single"/>
        </w:rPr>
        <w:t>2</w:t>
      </w:r>
      <w:r w:rsidR="00FB3EE4">
        <w:rPr>
          <w:i/>
          <w:u w:val="single"/>
        </w:rPr>
        <w:t>)</w:t>
      </w:r>
    </w:p>
    <w:p w14:paraId="3CAB0DE6" w14:textId="77777777" w:rsidR="00466350" w:rsidRPr="00466350" w:rsidRDefault="00466350" w:rsidP="004E5407">
      <w:pPr>
        <w:ind w:left="270" w:hanging="270"/>
        <w:rPr>
          <w:i/>
          <w:sz w:val="12"/>
          <w:szCs w:val="12"/>
          <w:u w:val="single"/>
        </w:rPr>
      </w:pPr>
    </w:p>
    <w:p w14:paraId="05945D69" w14:textId="77777777" w:rsidR="00F96F63" w:rsidRDefault="00F96F63" w:rsidP="004E5407">
      <w:pPr>
        <w:pStyle w:val="ListParagraph"/>
        <w:widowControl/>
        <w:numPr>
          <w:ilvl w:val="0"/>
          <w:numId w:val="20"/>
        </w:numPr>
        <w:autoSpaceDE/>
        <w:autoSpaceDN/>
        <w:adjustRightInd/>
        <w:ind w:left="270" w:hanging="270"/>
        <w:contextualSpacing/>
        <w:rPr>
          <w:color w:val="000000"/>
          <w:u w:val="single"/>
        </w:rPr>
      </w:pPr>
      <w:r w:rsidRPr="00921EB0">
        <w:rPr>
          <w:bCs/>
          <w:color w:val="000000"/>
          <w:shd w:val="clear" w:color="auto" w:fill="FFFFFF"/>
        </w:rPr>
        <w:t>Menichetti B.T.</w:t>
      </w:r>
      <w:r w:rsidRPr="007204F1">
        <w:rPr>
          <w:bCs/>
        </w:rPr>
        <w:t xml:space="preserve">, </w:t>
      </w:r>
      <w:r w:rsidRPr="00572513">
        <w:rPr>
          <w:b/>
        </w:rPr>
        <w:t>Garcia-Guerra A</w:t>
      </w:r>
      <w:r w:rsidRPr="007204F1">
        <w:rPr>
          <w:bCs/>
        </w:rPr>
        <w:t xml:space="preserve">, </w:t>
      </w:r>
      <w:r>
        <w:rPr>
          <w:bCs/>
        </w:rPr>
        <w:t xml:space="preserve">Lakritz J., Weiss, W. P. Velez J. S., Bothe H., Merchan D., </w:t>
      </w:r>
      <w:r w:rsidRPr="00C9023E">
        <w:t>Schuenemann G.</w:t>
      </w:r>
      <w:r>
        <w:t xml:space="preserve"> M.</w:t>
      </w:r>
      <w:r w:rsidRPr="009D34BC">
        <w:t xml:space="preserve"> </w:t>
      </w:r>
      <w:r>
        <w:t xml:space="preserve">2021. </w:t>
      </w:r>
      <w:r w:rsidRPr="00DB6712">
        <w:t>Effect of timing of prepartum vaccination relative to pen change with an acidogenic diet on lying time and metabolic profile in Holstein dairy cows</w:t>
      </w:r>
      <w:r w:rsidRPr="00F54B4D">
        <w:t>.</w:t>
      </w:r>
      <w:r w:rsidRPr="00AD1362">
        <w:rPr>
          <w:u w:val="single"/>
        </w:rPr>
        <w:t xml:space="preserve"> </w:t>
      </w:r>
      <w:r w:rsidRPr="00572513">
        <w:rPr>
          <w:u w:val="single"/>
          <w:lang w:val="en-CA"/>
        </w:rPr>
        <w:t>Journal of Dairy Science</w:t>
      </w:r>
      <w:r w:rsidRPr="00AD1362">
        <w:rPr>
          <w:color w:val="000000"/>
          <w:u w:val="single"/>
        </w:rPr>
        <w:t>,</w:t>
      </w:r>
      <w:r>
        <w:rPr>
          <w:color w:val="000000"/>
          <w:u w:val="single"/>
        </w:rPr>
        <w:t xml:space="preserve"> 104 (10): 11059-11071.</w:t>
      </w:r>
    </w:p>
    <w:p w14:paraId="27D0315B" w14:textId="77777777" w:rsidR="00F96F63" w:rsidRPr="00AD1362" w:rsidRDefault="00F96F63" w:rsidP="004E5407">
      <w:pPr>
        <w:pStyle w:val="ListParagraph"/>
        <w:ind w:left="270" w:hanging="270"/>
        <w:rPr>
          <w:color w:val="000000"/>
          <w:u w:val="single"/>
        </w:rPr>
      </w:pPr>
    </w:p>
    <w:p w14:paraId="0342A5D9" w14:textId="77777777" w:rsidR="00A62B23" w:rsidRPr="00A62B23" w:rsidRDefault="00A62B23" w:rsidP="004E5407">
      <w:pPr>
        <w:pStyle w:val="ListParagraph"/>
        <w:ind w:left="270" w:hanging="270"/>
        <w:rPr>
          <w:color w:val="000000"/>
          <w:u w:val="single"/>
        </w:rPr>
      </w:pPr>
    </w:p>
    <w:p w14:paraId="114A376E" w14:textId="5389BF45" w:rsidR="00BF6253" w:rsidRDefault="00BF6253" w:rsidP="004E5407">
      <w:pPr>
        <w:spacing w:after="240"/>
        <w:ind w:left="270" w:hanging="270"/>
        <w:rPr>
          <w:i/>
          <w:u w:val="single"/>
        </w:rPr>
      </w:pPr>
      <w:r>
        <w:rPr>
          <w:i/>
          <w:u w:val="single"/>
        </w:rPr>
        <w:t xml:space="preserve">Abstracts </w:t>
      </w:r>
      <w:r w:rsidR="00FB3EE4">
        <w:rPr>
          <w:i/>
          <w:u w:val="single"/>
        </w:rPr>
        <w:t>(202</w:t>
      </w:r>
      <w:r w:rsidR="004D6977">
        <w:rPr>
          <w:i/>
          <w:u w:val="single"/>
        </w:rPr>
        <w:t>2</w:t>
      </w:r>
      <w:r w:rsidR="00FB3EE4">
        <w:rPr>
          <w:i/>
          <w:u w:val="single"/>
        </w:rPr>
        <w:t>)</w:t>
      </w:r>
    </w:p>
    <w:p w14:paraId="2791A1ED" w14:textId="77777777" w:rsidR="00E475BD" w:rsidRPr="0027428A" w:rsidRDefault="00E475BD" w:rsidP="004E5407">
      <w:pPr>
        <w:pStyle w:val="ListParagraph"/>
        <w:widowControl/>
        <w:numPr>
          <w:ilvl w:val="0"/>
          <w:numId w:val="21"/>
        </w:numPr>
        <w:autoSpaceDE/>
        <w:autoSpaceDN/>
        <w:adjustRightInd/>
        <w:ind w:left="270" w:right="29" w:hanging="270"/>
        <w:contextualSpacing/>
        <w:rPr>
          <w:lang w:val="en-CA"/>
        </w:rPr>
      </w:pPr>
      <w:r>
        <w:rPr>
          <w:lang w:val="pt-BR"/>
        </w:rPr>
        <w:t>B. J. Duran</w:t>
      </w:r>
      <w:r w:rsidRPr="0027428A">
        <w:rPr>
          <w:lang w:val="pt-BR"/>
        </w:rPr>
        <w:t xml:space="preserve">, </w:t>
      </w:r>
      <w:r w:rsidRPr="008909F4">
        <w:rPr>
          <w:lang w:val="pt-BR"/>
        </w:rPr>
        <w:t>F</w:t>
      </w:r>
      <w:r>
        <w:rPr>
          <w:lang w:val="pt-BR"/>
        </w:rPr>
        <w:t>.</w:t>
      </w:r>
      <w:r w:rsidRPr="008909F4">
        <w:rPr>
          <w:lang w:val="pt-BR"/>
        </w:rPr>
        <w:t xml:space="preserve"> L. V. Pinaffi, J</w:t>
      </w:r>
      <w:r>
        <w:rPr>
          <w:lang w:val="pt-BR"/>
        </w:rPr>
        <w:t>.</w:t>
      </w:r>
      <w:r w:rsidRPr="008909F4">
        <w:rPr>
          <w:lang w:val="pt-BR"/>
        </w:rPr>
        <w:t xml:space="preserve"> C. L. Motta, C</w:t>
      </w:r>
      <w:r>
        <w:rPr>
          <w:lang w:val="pt-BR"/>
        </w:rPr>
        <w:t>.</w:t>
      </w:r>
      <w:r w:rsidRPr="008909F4">
        <w:rPr>
          <w:lang w:val="pt-BR"/>
        </w:rPr>
        <w:t xml:space="preserve"> Hayden, A</w:t>
      </w:r>
      <w:r>
        <w:rPr>
          <w:lang w:val="pt-BR"/>
        </w:rPr>
        <w:t>.</w:t>
      </w:r>
      <w:r w:rsidRPr="008909F4">
        <w:rPr>
          <w:lang w:val="pt-BR"/>
        </w:rPr>
        <w:t xml:space="preserve"> E. Crist, C</w:t>
      </w:r>
      <w:r>
        <w:rPr>
          <w:lang w:val="pt-BR"/>
        </w:rPr>
        <w:t>.</w:t>
      </w:r>
      <w:r w:rsidRPr="008909F4">
        <w:rPr>
          <w:lang w:val="pt-BR"/>
        </w:rPr>
        <w:t xml:space="preserve"> Rykaczewski, S</w:t>
      </w:r>
      <w:r>
        <w:rPr>
          <w:lang w:val="pt-BR"/>
        </w:rPr>
        <w:t xml:space="preserve">. </w:t>
      </w:r>
      <w:r w:rsidRPr="008909F4">
        <w:rPr>
          <w:lang w:val="pt-BR"/>
        </w:rPr>
        <w:t>Wellert, E</w:t>
      </w:r>
      <w:r>
        <w:rPr>
          <w:lang w:val="pt-BR"/>
        </w:rPr>
        <w:t>.</w:t>
      </w:r>
      <w:r w:rsidRPr="008909F4">
        <w:rPr>
          <w:lang w:val="pt-BR"/>
        </w:rPr>
        <w:t xml:space="preserve"> Rojas-Canadas, M</w:t>
      </w:r>
      <w:r>
        <w:rPr>
          <w:lang w:val="pt-BR"/>
        </w:rPr>
        <w:t>.</w:t>
      </w:r>
      <w:r w:rsidRPr="008909F4">
        <w:rPr>
          <w:lang w:val="pt-BR"/>
        </w:rPr>
        <w:t xml:space="preserve"> L. Mussard</w:t>
      </w:r>
      <w:r w:rsidRPr="0027428A">
        <w:rPr>
          <w:lang w:val="pt-BR"/>
        </w:rPr>
        <w:t>,</w:t>
      </w:r>
      <w:r w:rsidRPr="009F7737">
        <w:rPr>
          <w:b/>
          <w:lang w:val="pt-BR"/>
        </w:rPr>
        <w:t xml:space="preserve"> </w:t>
      </w:r>
      <w:r w:rsidRPr="0027428A">
        <w:rPr>
          <w:b/>
          <w:lang w:val="pt-BR"/>
        </w:rPr>
        <w:t>A. García-Guerra</w:t>
      </w:r>
      <w:r w:rsidRPr="0027428A">
        <w:rPr>
          <w:lang w:val="pt-BR"/>
        </w:rPr>
        <w:t xml:space="preserve">. </w:t>
      </w:r>
      <w:r w:rsidRPr="0027428A">
        <w:t>20</w:t>
      </w:r>
      <w:r>
        <w:t>21</w:t>
      </w:r>
      <w:r w:rsidRPr="0027428A">
        <w:t>.</w:t>
      </w:r>
      <w:r w:rsidRPr="0027428A">
        <w:rPr>
          <w:lang w:val="pt-BR"/>
        </w:rPr>
        <w:t xml:space="preserve"> </w:t>
      </w:r>
      <w:r w:rsidRPr="0027428A">
        <w:rPr>
          <w:lang w:val="en-CA"/>
        </w:rPr>
        <w:t>“</w:t>
      </w:r>
      <w:r w:rsidRPr="00EB2338">
        <w:rPr>
          <w:rFonts w:eastAsia="MS Gothic"/>
          <w:bCs/>
          <w:color w:val="000000"/>
        </w:rPr>
        <w:t>Corpus luteum regression after induced pregnancy loss in cattle is preceded by a reduction in uterine artery vascular perfusion</w:t>
      </w:r>
      <w:r w:rsidRPr="0027428A">
        <w:rPr>
          <w:lang w:val="en-CA"/>
        </w:rPr>
        <w:t xml:space="preserve">”. </w:t>
      </w:r>
      <w:r w:rsidRPr="0027428A">
        <w:t>Abstract P</w:t>
      </w:r>
      <w:r>
        <w:t>136</w:t>
      </w:r>
      <w:r w:rsidRPr="0027428A">
        <w:t>.</w:t>
      </w:r>
      <w:r w:rsidRPr="0027428A">
        <w:rPr>
          <w:lang w:val="en-CA"/>
        </w:rPr>
        <w:t xml:space="preserve"> Proceedings of the 5</w:t>
      </w:r>
      <w:r>
        <w:rPr>
          <w:lang w:val="en-CA"/>
        </w:rPr>
        <w:t>4</w:t>
      </w:r>
      <w:r>
        <w:rPr>
          <w:vertAlign w:val="superscript"/>
          <w:lang w:val="en-CA"/>
        </w:rPr>
        <w:t>th</w:t>
      </w:r>
      <w:r w:rsidRPr="0027428A">
        <w:rPr>
          <w:lang w:val="en-CA"/>
        </w:rPr>
        <w:t xml:space="preserve"> Annual Meeting of the Society for the Study of Reproduction 20</w:t>
      </w:r>
      <w:r>
        <w:rPr>
          <w:lang w:val="en-CA"/>
        </w:rPr>
        <w:t>21</w:t>
      </w:r>
      <w:r w:rsidRPr="0027428A">
        <w:rPr>
          <w:lang w:val="en-CA"/>
        </w:rPr>
        <w:t xml:space="preserve">, </w:t>
      </w:r>
      <w:r>
        <w:rPr>
          <w:lang w:val="en-CA"/>
        </w:rPr>
        <w:t>December</w:t>
      </w:r>
      <w:r w:rsidRPr="0027428A">
        <w:rPr>
          <w:lang w:val="en-CA"/>
        </w:rPr>
        <w:t xml:space="preserve"> </w:t>
      </w:r>
      <w:r>
        <w:rPr>
          <w:lang w:val="en-CA"/>
        </w:rPr>
        <w:t>13</w:t>
      </w:r>
      <w:r w:rsidRPr="0027428A">
        <w:rPr>
          <w:lang w:val="en-CA"/>
        </w:rPr>
        <w:t>-</w:t>
      </w:r>
      <w:r>
        <w:rPr>
          <w:lang w:val="en-CA"/>
        </w:rPr>
        <w:t>18</w:t>
      </w:r>
      <w:r w:rsidRPr="0027428A">
        <w:rPr>
          <w:lang w:val="en-CA"/>
        </w:rPr>
        <w:t xml:space="preserve">, </w:t>
      </w:r>
      <w:r>
        <w:rPr>
          <w:lang w:val="en-CA"/>
        </w:rPr>
        <w:t>St Louis</w:t>
      </w:r>
      <w:r w:rsidRPr="0027428A">
        <w:rPr>
          <w:lang w:val="en-CA"/>
        </w:rPr>
        <w:t xml:space="preserve">, </w:t>
      </w:r>
      <w:r>
        <w:rPr>
          <w:lang w:val="en-CA"/>
        </w:rPr>
        <w:t>MO</w:t>
      </w:r>
      <w:r w:rsidRPr="0027428A">
        <w:rPr>
          <w:lang w:val="en-CA"/>
        </w:rPr>
        <w:t>.</w:t>
      </w:r>
    </w:p>
    <w:p w14:paraId="18FDB7BA" w14:textId="77777777" w:rsidR="00E475BD" w:rsidRPr="009F7737" w:rsidRDefault="00E475BD" w:rsidP="004827B0">
      <w:pPr>
        <w:pStyle w:val="ListParagraph"/>
        <w:ind w:right="29"/>
        <w:rPr>
          <w:lang w:val="en-CA"/>
        </w:rPr>
      </w:pPr>
    </w:p>
    <w:p w14:paraId="4E70E2BA" w14:textId="31023922" w:rsidR="00093C83" w:rsidRPr="00CC3AA2" w:rsidRDefault="00093C83" w:rsidP="004827B0">
      <w:pPr>
        <w:spacing w:after="240"/>
        <w:rPr>
          <w:i/>
          <w:u w:val="single"/>
          <w:lang w:val="en-CA"/>
        </w:rPr>
      </w:pPr>
      <w:r w:rsidRPr="00CC3AA2">
        <w:rPr>
          <w:i/>
          <w:u w:val="single"/>
          <w:lang w:val="en-CA"/>
        </w:rPr>
        <w:t xml:space="preserve">Conference Proceedings </w:t>
      </w:r>
      <w:r w:rsidR="004E5407">
        <w:rPr>
          <w:i/>
          <w:u w:val="single"/>
          <w:lang w:val="en-CA"/>
        </w:rPr>
        <w:t>(202</w:t>
      </w:r>
      <w:r w:rsidR="004D6977">
        <w:rPr>
          <w:i/>
          <w:u w:val="single"/>
          <w:lang w:val="en-CA"/>
        </w:rPr>
        <w:t>2</w:t>
      </w:r>
      <w:r w:rsidR="004E5407">
        <w:rPr>
          <w:i/>
          <w:u w:val="single"/>
          <w:lang w:val="en-CA"/>
        </w:rPr>
        <w:t>)</w:t>
      </w:r>
    </w:p>
    <w:p w14:paraId="1C4267B2" w14:textId="2B090A14" w:rsidR="00093C83" w:rsidRPr="00093C83" w:rsidRDefault="00A62B23" w:rsidP="004E5407">
      <w:pPr>
        <w:spacing w:after="240"/>
        <w:rPr>
          <w:bCs/>
        </w:rPr>
      </w:pPr>
      <w:r>
        <w:rPr>
          <w:bCs/>
          <w:lang w:val="en-CA"/>
        </w:rPr>
        <w:t>None</w:t>
      </w:r>
    </w:p>
    <w:p w14:paraId="32CEB0F7" w14:textId="44B8A7DF" w:rsidR="00BF6253" w:rsidRDefault="00BF6253" w:rsidP="004827B0">
      <w:pPr>
        <w:spacing w:after="240"/>
        <w:rPr>
          <w:i/>
          <w:u w:val="single"/>
        </w:rPr>
      </w:pPr>
      <w:r>
        <w:rPr>
          <w:i/>
          <w:u w:val="single"/>
        </w:rPr>
        <w:t>Thesis and Dissertations (20</w:t>
      </w:r>
      <w:r w:rsidR="003C1F65">
        <w:rPr>
          <w:i/>
          <w:u w:val="single"/>
        </w:rPr>
        <w:t>2</w:t>
      </w:r>
      <w:r w:rsidR="004D6977">
        <w:rPr>
          <w:i/>
          <w:u w:val="single"/>
        </w:rPr>
        <w:t>2</w:t>
      </w:r>
      <w:r>
        <w:rPr>
          <w:i/>
          <w:u w:val="single"/>
        </w:rPr>
        <w:t>)</w:t>
      </w:r>
    </w:p>
    <w:p w14:paraId="3B87FE83" w14:textId="0123BE65" w:rsidR="003C1F65" w:rsidRPr="001C65C2" w:rsidRDefault="002709D2" w:rsidP="004E5407">
      <w:pPr>
        <w:pStyle w:val="EndNoteBibliography"/>
        <w:spacing w:after="240"/>
      </w:pPr>
      <w:r>
        <w:lastRenderedPageBreak/>
        <w:t>None</w:t>
      </w:r>
    </w:p>
    <w:p w14:paraId="265E4C1C" w14:textId="77777777" w:rsidR="00B1535B" w:rsidRDefault="00B1535B" w:rsidP="004827B0">
      <w:pPr>
        <w:rPr>
          <w:i/>
          <w:u w:val="single"/>
        </w:rPr>
      </w:pPr>
    </w:p>
    <w:p w14:paraId="0B1531D6" w14:textId="32612DCC" w:rsidR="009C73FD" w:rsidRPr="00147898" w:rsidRDefault="00147898" w:rsidP="004827B0">
      <w:pPr>
        <w:pStyle w:val="Heading2"/>
        <w:kinsoku w:val="0"/>
        <w:overflowPunct w:val="0"/>
        <w:ind w:left="0"/>
        <w:rPr>
          <w:rFonts w:ascii="Times New Roman Bold" w:hAnsi="Times New Roman Bold"/>
          <w:i w:val="0"/>
          <w:smallCaps/>
          <w:spacing w:val="-1"/>
        </w:rPr>
      </w:pPr>
      <w:r w:rsidRPr="00147898">
        <w:rPr>
          <w:rFonts w:ascii="Times New Roman Bold" w:hAnsi="Times New Roman Bold"/>
          <w:i w:val="0"/>
          <w:smallCaps/>
          <w:spacing w:val="-1"/>
        </w:rPr>
        <w:t>Accomplishments</w:t>
      </w:r>
    </w:p>
    <w:p w14:paraId="2FE3B3FB" w14:textId="77777777" w:rsidR="00B1535B" w:rsidRDefault="00B1535B" w:rsidP="004827B0"/>
    <w:p w14:paraId="74213881" w14:textId="3CDDED97" w:rsidR="004D6977" w:rsidRPr="004D6977" w:rsidRDefault="004D6977" w:rsidP="004827B0">
      <w:pPr>
        <w:rPr>
          <w:color w:val="FF0000"/>
        </w:rPr>
      </w:pPr>
      <w:r w:rsidRPr="004D6977">
        <w:rPr>
          <w:color w:val="FF0000"/>
        </w:rPr>
        <w:t>Examples below. Please include Objective under which research fits. These are the latest objectives:</w:t>
      </w:r>
    </w:p>
    <w:p w14:paraId="2714C027" w14:textId="77777777" w:rsidR="004D6977" w:rsidRPr="00D044D5" w:rsidRDefault="004D6977" w:rsidP="004827B0"/>
    <w:p w14:paraId="7941A098" w14:textId="1789B645" w:rsidR="003D1FEE" w:rsidRDefault="004D6977" w:rsidP="004827B0">
      <w:pPr>
        <w:rPr>
          <w:rFonts w:eastAsia="ArialMT"/>
          <w:b/>
        </w:rPr>
      </w:pPr>
      <w:r>
        <w:rPr>
          <w:rFonts w:eastAsia="ArialMT"/>
          <w:b/>
        </w:rPr>
        <w:t xml:space="preserve">Objective 1: </w:t>
      </w:r>
      <w:r w:rsidRPr="004D6977">
        <w:rPr>
          <w:rFonts w:eastAsia="ArialMT"/>
          <w:b/>
        </w:rPr>
        <w:t>Identify Mechanisms that Regulate Ovarian Function and Oocyte Quality during the Estrous Cycle</w:t>
      </w:r>
    </w:p>
    <w:p w14:paraId="38AE0323" w14:textId="77777777" w:rsidR="004D6977" w:rsidRDefault="004D6977" w:rsidP="004827B0">
      <w:pPr>
        <w:rPr>
          <w:rFonts w:eastAsia="ArialMT"/>
          <w:b/>
        </w:rPr>
      </w:pPr>
    </w:p>
    <w:p w14:paraId="4586820D" w14:textId="6AA15114" w:rsidR="00190380" w:rsidRDefault="00190380" w:rsidP="004827B0">
      <w:pPr>
        <w:rPr>
          <w:b/>
          <w:color w:val="231F20"/>
        </w:rPr>
      </w:pPr>
      <w:r w:rsidRPr="00190380">
        <w:rPr>
          <w:b/>
          <w:color w:val="231F20"/>
        </w:rPr>
        <w:t xml:space="preserve">Objective 2: </w:t>
      </w:r>
      <w:r w:rsidR="004D6977" w:rsidRPr="004D6977">
        <w:rPr>
          <w:b/>
          <w:color w:val="231F20"/>
        </w:rPr>
        <w:t>Determine Factors Associated with Fertilization, Embryo Development, and Conceptus-Endometrial Interactions that Dictate Pregnancy Success</w:t>
      </w:r>
    </w:p>
    <w:p w14:paraId="0D9D6788" w14:textId="77777777" w:rsidR="004D6977" w:rsidRDefault="004D6977" w:rsidP="004827B0">
      <w:pPr>
        <w:rPr>
          <w:color w:val="231F20"/>
        </w:rPr>
      </w:pPr>
    </w:p>
    <w:p w14:paraId="2CC9EE98" w14:textId="2EDA6F5E" w:rsidR="004D6977" w:rsidRPr="004D6977" w:rsidRDefault="004D6977" w:rsidP="004827B0">
      <w:pPr>
        <w:rPr>
          <w:color w:val="FF0000"/>
        </w:rPr>
      </w:pPr>
      <w:r w:rsidRPr="004D6977">
        <w:rPr>
          <w:color w:val="FF0000"/>
        </w:rPr>
        <w:t>Example below:</w:t>
      </w:r>
    </w:p>
    <w:p w14:paraId="2AF78B89" w14:textId="4D7B13C9" w:rsidR="00190380" w:rsidRPr="000A123C" w:rsidRDefault="00190380" w:rsidP="004827B0">
      <w:pPr>
        <w:rPr>
          <w:bCs/>
          <w:i/>
          <w:iCs/>
          <w:color w:val="231F20"/>
          <w:u w:val="single"/>
        </w:rPr>
      </w:pPr>
      <w:r w:rsidRPr="000A123C">
        <w:rPr>
          <w:bCs/>
          <w:i/>
          <w:iCs/>
          <w:u w:val="single"/>
        </w:rPr>
        <w:t xml:space="preserve">A.  </w:t>
      </w:r>
      <w:r w:rsidR="000A123C" w:rsidRPr="000A123C">
        <w:rPr>
          <w:bCs/>
          <w:i/>
          <w:iCs/>
          <w:color w:val="231F20"/>
          <w:u w:val="single"/>
        </w:rPr>
        <w:t>Induced pregnancy loss by conceptus demise after classical maternal recognition of pregnancy and fate of the corpus luteum</w:t>
      </w:r>
    </w:p>
    <w:p w14:paraId="75B0C781" w14:textId="77777777" w:rsidR="00190380" w:rsidRDefault="00190380" w:rsidP="004827B0">
      <w:pPr>
        <w:rPr>
          <w:color w:val="231F20"/>
        </w:rPr>
      </w:pPr>
    </w:p>
    <w:p w14:paraId="0230E1BD" w14:textId="77777777" w:rsidR="00EF116B" w:rsidRPr="00EF116B" w:rsidRDefault="00EF116B" w:rsidP="004D6977">
      <w:pPr>
        <w:pStyle w:val="ListParagraph"/>
        <w:widowControl/>
        <w:numPr>
          <w:ilvl w:val="0"/>
          <w:numId w:val="10"/>
        </w:numPr>
        <w:autoSpaceDE/>
        <w:autoSpaceDN/>
        <w:adjustRightInd/>
        <w:spacing w:after="240"/>
        <w:ind w:left="0" w:firstLine="0"/>
        <w:rPr>
          <w:color w:val="000000" w:themeColor="text1"/>
        </w:rPr>
      </w:pPr>
      <w:r w:rsidRPr="00EF116B">
        <w:rPr>
          <w:color w:val="000000" w:themeColor="text1"/>
        </w:rPr>
        <w:t xml:space="preserve">Pregnancy Establishment in Ruminants. Induction of pregnancy loss on day 35 of gestation in cattle results in luteolysis by gestation day ~45. Results from previous research indicate that uterine blood flow increases during the second month of gestation. Furthermore, it has been hypothesized that the increase in utero-ovarian blood flow during the second month of gestation causes reduced utero-ovarian transport of uterine secreted PGF2α and thus preventing luteolysis. Therefore, the aim of this study was to test the hypothesis that luteolysis after pregnancy loss is temporally associated with a decrease in ipsilateral uterine artery vascular perfusion. Results obtained from this study indicate a tendency for an effect of time on uterine artery vascular perfusion index in cows undergoing pregnancy loss, characterized by a 24% reduction in vascular perfusion beginning 4 days before luteolysis. These results provide support for the hypothesis of a physiological mechanism, involving increased uterine blood flow, responsible for maintenance of the CL during the second month of pregnancy in cattle. </w:t>
      </w:r>
    </w:p>
    <w:p w14:paraId="581FFAFA" w14:textId="62B24951" w:rsidR="00190380" w:rsidRDefault="00190380" w:rsidP="004827B0">
      <w:pPr>
        <w:pStyle w:val="ListParagraph"/>
        <w:rPr>
          <w:b/>
          <w:color w:val="000000" w:themeColor="text1"/>
        </w:rPr>
      </w:pPr>
      <w:r w:rsidRPr="006A6B4B">
        <w:rPr>
          <w:b/>
          <w:color w:val="000000" w:themeColor="text1"/>
        </w:rPr>
        <w:t xml:space="preserve">Objective 3: </w:t>
      </w:r>
      <w:r w:rsidR="004D6977" w:rsidRPr="004D6977">
        <w:rPr>
          <w:b/>
          <w:color w:val="000000" w:themeColor="text1"/>
        </w:rPr>
        <w:t>Develop and Evaluate Novel Reproductive Management Strategies and Technologies to Improve Reproductive Performance of Ruminant</w:t>
      </w:r>
      <w:r w:rsidR="004D6977">
        <w:rPr>
          <w:b/>
          <w:color w:val="000000" w:themeColor="text1"/>
        </w:rPr>
        <w:t>s</w:t>
      </w:r>
    </w:p>
    <w:p w14:paraId="65FA1CD5" w14:textId="77777777" w:rsidR="006A6B4B" w:rsidRPr="006A6B4B" w:rsidRDefault="006A6B4B" w:rsidP="004827B0">
      <w:pPr>
        <w:pStyle w:val="ListParagraph"/>
        <w:rPr>
          <w:b/>
          <w:color w:val="000000" w:themeColor="text1"/>
        </w:rPr>
      </w:pPr>
    </w:p>
    <w:p w14:paraId="34F6FCC9" w14:textId="72360127" w:rsidR="000A123C" w:rsidRPr="006E5668" w:rsidRDefault="000A123C" w:rsidP="004827B0">
      <w:pPr>
        <w:spacing w:after="240"/>
        <w:rPr>
          <w:bCs/>
          <w:i/>
          <w:iCs/>
          <w:u w:val="single"/>
        </w:rPr>
      </w:pPr>
      <w:r w:rsidRPr="006E5668">
        <w:rPr>
          <w:bCs/>
          <w:i/>
          <w:iCs/>
          <w:u w:val="single"/>
        </w:rPr>
        <w:t>B.  Optimization of ovulation synchronization protocols to maximize fertility and reproductive efficiency.</w:t>
      </w:r>
    </w:p>
    <w:p w14:paraId="05474E4F" w14:textId="77777777" w:rsidR="00FA61D7" w:rsidRDefault="00FA61D7" w:rsidP="004D6977">
      <w:pPr>
        <w:pStyle w:val="ListParagraph"/>
        <w:widowControl/>
        <w:numPr>
          <w:ilvl w:val="0"/>
          <w:numId w:val="10"/>
        </w:numPr>
        <w:autoSpaceDE/>
        <w:autoSpaceDN/>
        <w:adjustRightInd/>
        <w:spacing w:after="240"/>
        <w:ind w:left="0" w:firstLine="0"/>
        <w:rPr>
          <w:color w:val="000000" w:themeColor="text1"/>
        </w:rPr>
      </w:pPr>
      <w:r w:rsidRPr="00FA61D7">
        <w:rPr>
          <w:color w:val="000000" w:themeColor="text1"/>
        </w:rPr>
        <w:t xml:space="preserve">The 5-day CO-Synch is an extensively used TAI protocol; however, it requires multiple administrations of prostaglandin F2α (PGF). We conducted a study to evaluate the effect of increasing progesterone (P4) device insertion from 5 to 6 days during a TAI protocol on ovarian dynamics and fertility in beef cows. Cows in the 6-day group had a larger maximum preovulatory follicle diameter and a greater CL volume seven days after ovulation than cows in the 5-day group. Furthermore, cows assigned to the 6-day group had greater estrus expression and pregnancy rate than cows in the 5-day group. Similarly, we performed a study to evaluate the effect of length of P4 treatment (5 vs 6 days) on ovarian dynamics, behavioral estrus, and fertility to embryo transfer (ET) in Holstein heifers. Neither preovulatory follicle size nor corpora lutea volume were different between treatments. Furthermore, utilization rate and pregnancies per ET </w:t>
      </w:r>
      <w:r w:rsidRPr="00FA61D7">
        <w:rPr>
          <w:color w:val="000000" w:themeColor="text1"/>
        </w:rPr>
        <w:lastRenderedPageBreak/>
        <w:t>(P/ET) at D32 were not affected by treatment. However, P/ET at D60 tended to be greater for the 6-day group and pregnancy loss tended to be less for the 6-day group compared to the 5-day group. Thus, increasing the length of P4 treatment during a prolonged proestrus CO-Synch by one day improved fertility to ET by reducing pregnancy loss. Presynchronization treatments administered before initiation of a CO-Synch type regimen are designed to improve ovulatory response and synchronization of follicular development in beef cows. The objective of this study was to determine the effect of various presynchronization strategies before initiation of a 6-day CO-Synch, on estrous expression and fertility to timed artificial insemination (TAI) in suckled beef cows. Preliminary results of this study indicate that pregnancies per AI (P/AI) on day 35 after TAI were greater for cows presynchronized with a progesterone device and prostaglandin compared to cows presynchronized with prostaglandin alone or cows that did not undergo presynchronization.</w:t>
      </w:r>
    </w:p>
    <w:p w14:paraId="6EEAC23B" w14:textId="77777777" w:rsidR="006A6B4B" w:rsidRDefault="006A6B4B" w:rsidP="004D6977">
      <w:pPr>
        <w:pStyle w:val="ListParagraph"/>
        <w:rPr>
          <w:color w:val="000000" w:themeColor="text1"/>
        </w:rPr>
      </w:pPr>
    </w:p>
    <w:p w14:paraId="2FA2F5B9" w14:textId="094D9E2C" w:rsidR="00CC4F63" w:rsidRDefault="00CC4F63" w:rsidP="004D6977">
      <w:pPr>
        <w:pStyle w:val="BodyText"/>
        <w:kinsoku w:val="0"/>
        <w:overflowPunct w:val="0"/>
        <w:ind w:left="0"/>
        <w:rPr>
          <w:b/>
          <w:bCs/>
          <w:spacing w:val="-1"/>
        </w:rPr>
      </w:pPr>
      <w:r w:rsidRPr="002106AB">
        <w:rPr>
          <w:b/>
          <w:bCs/>
          <w:spacing w:val="-1"/>
        </w:rPr>
        <w:t>Opportunities</w:t>
      </w:r>
      <w:r w:rsidRPr="002106AB">
        <w:rPr>
          <w:b/>
          <w:bCs/>
        </w:rPr>
        <w:t xml:space="preserve"> for </w:t>
      </w:r>
      <w:r w:rsidRPr="002106AB">
        <w:rPr>
          <w:b/>
          <w:bCs/>
          <w:spacing w:val="-1"/>
        </w:rPr>
        <w:t>training</w:t>
      </w:r>
      <w:r w:rsidRPr="002106AB">
        <w:rPr>
          <w:b/>
          <w:bCs/>
        </w:rPr>
        <w:t xml:space="preserve"> and </w:t>
      </w:r>
      <w:r w:rsidRPr="002106AB">
        <w:rPr>
          <w:b/>
          <w:bCs/>
          <w:spacing w:val="-1"/>
        </w:rPr>
        <w:t>professional</w:t>
      </w:r>
      <w:r w:rsidRPr="002106AB">
        <w:rPr>
          <w:b/>
          <w:bCs/>
        </w:rPr>
        <w:t xml:space="preserve"> </w:t>
      </w:r>
      <w:r w:rsidRPr="002106AB">
        <w:rPr>
          <w:b/>
          <w:bCs/>
          <w:spacing w:val="-1"/>
        </w:rPr>
        <w:t>development</w:t>
      </w:r>
      <w:r w:rsidR="002106AB">
        <w:rPr>
          <w:b/>
          <w:bCs/>
          <w:spacing w:val="-1"/>
        </w:rPr>
        <w:t>:</w:t>
      </w:r>
    </w:p>
    <w:p w14:paraId="01B9B6DC" w14:textId="77777777" w:rsidR="002106AB" w:rsidRDefault="002106AB" w:rsidP="004D6977">
      <w:pPr>
        <w:pStyle w:val="BodyText"/>
        <w:kinsoku w:val="0"/>
        <w:overflowPunct w:val="0"/>
        <w:ind w:left="0"/>
        <w:rPr>
          <w:b/>
          <w:bCs/>
        </w:rPr>
      </w:pPr>
    </w:p>
    <w:p w14:paraId="42C380E3" w14:textId="61895060" w:rsidR="004D6977" w:rsidRPr="004D6977" w:rsidRDefault="004D6977" w:rsidP="004D6977">
      <w:pPr>
        <w:pStyle w:val="BodyText"/>
        <w:kinsoku w:val="0"/>
        <w:overflowPunct w:val="0"/>
        <w:ind w:left="0"/>
      </w:pPr>
      <w:r w:rsidRPr="004D6977">
        <w:rPr>
          <w:color w:val="FF0000"/>
        </w:rPr>
        <w:t>Examples below:</w:t>
      </w:r>
      <w:r w:rsidRPr="004D6977">
        <w:t xml:space="preserve"> </w:t>
      </w:r>
    </w:p>
    <w:p w14:paraId="0973AC62" w14:textId="2C9A78BB" w:rsidR="002106AB" w:rsidRPr="00AF52B8" w:rsidRDefault="002106AB" w:rsidP="004D6977">
      <w:pPr>
        <w:pStyle w:val="ListParagraph"/>
        <w:widowControl/>
        <w:numPr>
          <w:ilvl w:val="0"/>
          <w:numId w:val="11"/>
        </w:numPr>
        <w:autoSpaceDE/>
        <w:autoSpaceDN/>
        <w:adjustRightInd/>
        <w:spacing w:after="240" w:line="276" w:lineRule="auto"/>
        <w:ind w:left="0" w:firstLine="0"/>
        <w:contextualSpacing/>
        <w:rPr>
          <w:color w:val="000000" w:themeColor="text1"/>
        </w:rPr>
      </w:pPr>
      <w:r>
        <w:rPr>
          <w:color w:val="000000" w:themeColor="text1"/>
        </w:rPr>
        <w:t xml:space="preserve">Undergraduate students worked with PI and graduate students to develop and complete </w:t>
      </w:r>
      <w:r w:rsidRPr="00AF52B8">
        <w:rPr>
          <w:color w:val="000000" w:themeColor="text1"/>
        </w:rPr>
        <w:t xml:space="preserve">formal research agreements for Undergraduate Summer Research experience and Honors thesis projects.  </w:t>
      </w:r>
    </w:p>
    <w:p w14:paraId="70B90331" w14:textId="2F055B9B" w:rsidR="00AF52B8" w:rsidRPr="00AF52B8" w:rsidRDefault="00AF52B8" w:rsidP="004D6977">
      <w:pPr>
        <w:pStyle w:val="ListParagraph"/>
        <w:widowControl/>
        <w:numPr>
          <w:ilvl w:val="0"/>
          <w:numId w:val="11"/>
        </w:numPr>
        <w:autoSpaceDE/>
        <w:autoSpaceDN/>
        <w:adjustRightInd/>
        <w:spacing w:after="240" w:line="276" w:lineRule="auto"/>
        <w:ind w:left="0" w:firstLine="0"/>
        <w:contextualSpacing/>
        <w:rPr>
          <w:color w:val="000000" w:themeColor="text1"/>
        </w:rPr>
      </w:pPr>
      <w:r w:rsidRPr="00AF52B8">
        <w:rPr>
          <w:color w:val="000000" w:themeColor="text1"/>
        </w:rPr>
        <w:t>Postdoctoral fellows, g</w:t>
      </w:r>
      <w:r w:rsidR="00340F0F" w:rsidRPr="00AF52B8">
        <w:rPr>
          <w:color w:val="000000" w:themeColor="text1"/>
        </w:rPr>
        <w:t xml:space="preserve">raduate </w:t>
      </w:r>
      <w:r w:rsidRPr="00AF52B8">
        <w:rPr>
          <w:color w:val="000000" w:themeColor="text1"/>
        </w:rPr>
        <w:t xml:space="preserve">and undergraduate </w:t>
      </w:r>
      <w:r w:rsidR="00340F0F" w:rsidRPr="00AF52B8">
        <w:rPr>
          <w:color w:val="000000" w:themeColor="text1"/>
        </w:rPr>
        <w:t>students received training in</w:t>
      </w:r>
      <w:r w:rsidRPr="00AF52B8">
        <w:rPr>
          <w:color w:val="000000" w:themeColor="text1"/>
        </w:rPr>
        <w:t xml:space="preserve"> the design, implementation, and analysis of</w:t>
      </w:r>
      <w:r w:rsidR="00340F0F" w:rsidRPr="00AF52B8">
        <w:rPr>
          <w:color w:val="000000" w:themeColor="text1"/>
        </w:rPr>
        <w:t xml:space="preserve"> reproductive biology research. </w:t>
      </w:r>
    </w:p>
    <w:p w14:paraId="4DEEBF1A" w14:textId="19533711" w:rsidR="00340F0F" w:rsidRPr="00AF52B8" w:rsidRDefault="00AF52B8" w:rsidP="004D6977">
      <w:pPr>
        <w:pStyle w:val="ListParagraph"/>
        <w:widowControl/>
        <w:numPr>
          <w:ilvl w:val="0"/>
          <w:numId w:val="11"/>
        </w:numPr>
        <w:autoSpaceDE/>
        <w:autoSpaceDN/>
        <w:adjustRightInd/>
        <w:spacing w:after="240" w:line="276" w:lineRule="auto"/>
        <w:ind w:left="0" w:firstLine="0"/>
        <w:contextualSpacing/>
        <w:rPr>
          <w:color w:val="000000" w:themeColor="text1"/>
        </w:rPr>
      </w:pPr>
      <w:r w:rsidRPr="00AF52B8">
        <w:rPr>
          <w:color w:val="000000" w:themeColor="text1"/>
        </w:rPr>
        <w:t xml:space="preserve">Postdoctoral fellows, graduate and undergraduate students </w:t>
      </w:r>
      <w:r w:rsidR="00340F0F" w:rsidRPr="00AF52B8">
        <w:rPr>
          <w:color w:val="000000" w:themeColor="text1"/>
        </w:rPr>
        <w:t xml:space="preserve">gave formal and informal presentations about their </w:t>
      </w:r>
      <w:r w:rsidRPr="00AF52B8">
        <w:rPr>
          <w:color w:val="000000" w:themeColor="text1"/>
        </w:rPr>
        <w:t xml:space="preserve">research </w:t>
      </w:r>
      <w:r w:rsidR="00340F0F" w:rsidRPr="00AF52B8">
        <w:rPr>
          <w:color w:val="000000" w:themeColor="text1"/>
        </w:rPr>
        <w:t xml:space="preserve">and </w:t>
      </w:r>
      <w:r w:rsidRPr="00AF52B8">
        <w:rPr>
          <w:color w:val="000000" w:themeColor="text1"/>
        </w:rPr>
        <w:t>contributed as teaching assistants in undergraduate courses</w:t>
      </w:r>
      <w:r w:rsidR="00340F0F" w:rsidRPr="00AF52B8">
        <w:rPr>
          <w:color w:val="000000" w:themeColor="text1"/>
        </w:rPr>
        <w:t xml:space="preserve">.  </w:t>
      </w:r>
    </w:p>
    <w:p w14:paraId="6034E53E" w14:textId="7151AE70" w:rsidR="00340F0F" w:rsidRPr="00AF52B8" w:rsidRDefault="00340F0F" w:rsidP="004D6977">
      <w:pPr>
        <w:pStyle w:val="ListParagraph"/>
        <w:widowControl/>
        <w:numPr>
          <w:ilvl w:val="0"/>
          <w:numId w:val="11"/>
        </w:numPr>
        <w:autoSpaceDE/>
        <w:autoSpaceDN/>
        <w:adjustRightInd/>
        <w:spacing w:after="240" w:line="276" w:lineRule="auto"/>
        <w:ind w:left="0" w:firstLine="0"/>
        <w:contextualSpacing/>
        <w:rPr>
          <w:color w:val="000000" w:themeColor="text1"/>
        </w:rPr>
      </w:pPr>
      <w:r w:rsidRPr="00AF52B8">
        <w:rPr>
          <w:color w:val="000000" w:themeColor="text1"/>
        </w:rPr>
        <w:t xml:space="preserve">Postdoctoral fellows led research teams and they developed independent research ideas.  </w:t>
      </w:r>
    </w:p>
    <w:p w14:paraId="300200D5" w14:textId="32D1D27B" w:rsidR="00340F0F" w:rsidRPr="00AF52B8" w:rsidRDefault="00340F0F" w:rsidP="004D6977">
      <w:pPr>
        <w:pStyle w:val="ListParagraph"/>
        <w:widowControl/>
        <w:numPr>
          <w:ilvl w:val="0"/>
          <w:numId w:val="11"/>
        </w:numPr>
        <w:autoSpaceDE/>
        <w:autoSpaceDN/>
        <w:adjustRightInd/>
        <w:spacing w:after="240" w:line="276" w:lineRule="auto"/>
        <w:ind w:left="0" w:firstLine="0"/>
        <w:contextualSpacing/>
        <w:rPr>
          <w:color w:val="000000" w:themeColor="text1"/>
        </w:rPr>
      </w:pPr>
      <w:r w:rsidRPr="00AF52B8">
        <w:rPr>
          <w:color w:val="000000" w:themeColor="text1"/>
        </w:rPr>
        <w:t xml:space="preserve">Graduate </w:t>
      </w:r>
      <w:r w:rsidR="00AF52B8" w:rsidRPr="00AF52B8">
        <w:rPr>
          <w:color w:val="000000" w:themeColor="text1"/>
        </w:rPr>
        <w:t xml:space="preserve">and undergraduate </w:t>
      </w:r>
      <w:r w:rsidRPr="00AF52B8">
        <w:rPr>
          <w:color w:val="000000" w:themeColor="text1"/>
        </w:rPr>
        <w:t>students attended scientific meetings</w:t>
      </w:r>
      <w:r w:rsidR="00AF52B8" w:rsidRPr="00AF52B8">
        <w:rPr>
          <w:color w:val="000000" w:themeColor="text1"/>
        </w:rPr>
        <w:t xml:space="preserve"> in 20</w:t>
      </w:r>
      <w:r w:rsidR="00643FBE">
        <w:rPr>
          <w:color w:val="000000" w:themeColor="text1"/>
        </w:rPr>
        <w:t>21</w:t>
      </w:r>
      <w:r w:rsidR="00AF52B8" w:rsidRPr="00AF52B8">
        <w:rPr>
          <w:color w:val="000000" w:themeColor="text1"/>
        </w:rPr>
        <w:t xml:space="preserve"> (Society for Study of Reproduction</w:t>
      </w:r>
      <w:r w:rsidR="00643FBE">
        <w:rPr>
          <w:color w:val="000000" w:themeColor="text1"/>
        </w:rPr>
        <w:t>, American Society of Animal Science</w:t>
      </w:r>
      <w:r w:rsidR="00AF52B8" w:rsidRPr="00AF52B8">
        <w:rPr>
          <w:color w:val="000000" w:themeColor="text1"/>
        </w:rPr>
        <w:t xml:space="preserve"> and </w:t>
      </w:r>
      <w:r w:rsidRPr="00AF52B8">
        <w:rPr>
          <w:color w:val="000000" w:themeColor="text1"/>
        </w:rPr>
        <w:t>International Embryo Transfer Society</w:t>
      </w:r>
      <w:r w:rsidR="00AF52B8" w:rsidRPr="00AF52B8">
        <w:rPr>
          <w:color w:val="000000" w:themeColor="text1"/>
        </w:rPr>
        <w:t>)</w:t>
      </w:r>
      <w:r w:rsidRPr="00AF52B8">
        <w:rPr>
          <w:color w:val="000000" w:themeColor="text1"/>
        </w:rPr>
        <w:t xml:space="preserve">. </w:t>
      </w:r>
    </w:p>
    <w:p w14:paraId="38C1D36F" w14:textId="091475FE" w:rsidR="00CC4F63" w:rsidRPr="0046783D" w:rsidRDefault="00CC4F63" w:rsidP="004D6977">
      <w:pPr>
        <w:tabs>
          <w:tab w:val="left" w:pos="5760"/>
        </w:tabs>
        <w:rPr>
          <w:b/>
          <w:bCs/>
          <w:iCs/>
        </w:rPr>
      </w:pPr>
      <w:r w:rsidRPr="0046783D">
        <w:rPr>
          <w:b/>
          <w:bCs/>
          <w:iCs/>
        </w:rPr>
        <w:t>How results have been disseminated to target audience</w:t>
      </w:r>
      <w:r w:rsidR="0046783D">
        <w:rPr>
          <w:b/>
          <w:bCs/>
          <w:iCs/>
        </w:rPr>
        <w:t>:</w:t>
      </w:r>
      <w:r w:rsidRPr="0046783D">
        <w:rPr>
          <w:b/>
          <w:bCs/>
          <w:iCs/>
        </w:rPr>
        <w:tab/>
      </w:r>
    </w:p>
    <w:p w14:paraId="7ED91632" w14:textId="77777777" w:rsidR="00CC4F63" w:rsidRPr="004E7F45" w:rsidRDefault="00CC4F63" w:rsidP="004D6977">
      <w:pPr>
        <w:rPr>
          <w:rFonts w:ascii="ArialMT" w:eastAsia="ArialMT" w:cs="ArialMT"/>
          <w:sz w:val="12"/>
          <w:szCs w:val="12"/>
        </w:rPr>
      </w:pPr>
    </w:p>
    <w:p w14:paraId="26DA994A" w14:textId="77777777" w:rsidR="004D6977" w:rsidRDefault="004D6977" w:rsidP="004D6977">
      <w:pPr>
        <w:pStyle w:val="BodyText"/>
        <w:kinsoku w:val="0"/>
        <w:overflowPunct w:val="0"/>
        <w:ind w:left="0"/>
        <w:rPr>
          <w:color w:val="FF0000"/>
        </w:rPr>
      </w:pPr>
    </w:p>
    <w:p w14:paraId="5EAD8D75" w14:textId="4318BB6A" w:rsidR="004D6977" w:rsidRPr="004D6977" w:rsidRDefault="004D6977" w:rsidP="004D6977">
      <w:pPr>
        <w:pStyle w:val="BodyText"/>
        <w:kinsoku w:val="0"/>
        <w:overflowPunct w:val="0"/>
        <w:ind w:left="0"/>
      </w:pPr>
      <w:r w:rsidRPr="004D6977">
        <w:rPr>
          <w:color w:val="FF0000"/>
        </w:rPr>
        <w:t>Examples below:</w:t>
      </w:r>
      <w:r w:rsidRPr="004D6977">
        <w:t xml:space="preserve"> </w:t>
      </w:r>
    </w:p>
    <w:p w14:paraId="329FFC70" w14:textId="6BDD6836" w:rsidR="0046783D" w:rsidRDefault="00CC4F63" w:rsidP="004D6977">
      <w:pPr>
        <w:pStyle w:val="ListParagraph"/>
        <w:numPr>
          <w:ilvl w:val="0"/>
          <w:numId w:val="13"/>
        </w:numPr>
        <w:spacing w:after="240"/>
        <w:ind w:left="0" w:firstLine="0"/>
        <w:rPr>
          <w:rFonts w:eastAsia="ArialMT"/>
        </w:rPr>
      </w:pPr>
      <w:r w:rsidRPr="0046783D">
        <w:rPr>
          <w:rFonts w:eastAsia="ArialMT"/>
        </w:rPr>
        <w:t xml:space="preserve">Manuscripts were published in peer-reviewed journals </w:t>
      </w:r>
    </w:p>
    <w:p w14:paraId="1C516533" w14:textId="788B8EE5" w:rsidR="0046783D" w:rsidRDefault="0046783D" w:rsidP="004D6977">
      <w:pPr>
        <w:pStyle w:val="ListParagraph"/>
        <w:numPr>
          <w:ilvl w:val="0"/>
          <w:numId w:val="13"/>
        </w:numPr>
        <w:spacing w:after="240"/>
        <w:ind w:left="0" w:firstLine="0"/>
        <w:rPr>
          <w:rFonts w:eastAsia="ArialMT"/>
        </w:rPr>
      </w:pPr>
      <w:r>
        <w:rPr>
          <w:rFonts w:eastAsia="ArialMT"/>
        </w:rPr>
        <w:t xml:space="preserve">Abstracts and oral presentations at national and international scientific meeting such as </w:t>
      </w:r>
      <w:r w:rsidR="00CC4F63" w:rsidRPr="0046783D">
        <w:rPr>
          <w:rFonts w:eastAsia="ArialMT"/>
        </w:rPr>
        <w:t>Society for the Study of Reproduction</w:t>
      </w:r>
      <w:r w:rsidR="000944B4" w:rsidRPr="0046783D">
        <w:rPr>
          <w:rFonts w:eastAsia="ArialMT"/>
        </w:rPr>
        <w:t xml:space="preserve"> (SSR)</w:t>
      </w:r>
      <w:r w:rsidR="00CC4F63" w:rsidRPr="0046783D">
        <w:rPr>
          <w:rFonts w:eastAsia="ArialMT"/>
        </w:rPr>
        <w:t xml:space="preserve">, American </w:t>
      </w:r>
      <w:r w:rsidR="002F0EC5">
        <w:rPr>
          <w:rFonts w:eastAsia="ArialMT"/>
        </w:rPr>
        <w:t>Society of Animal</w:t>
      </w:r>
      <w:r w:rsidR="00CC4F63" w:rsidRPr="0046783D">
        <w:rPr>
          <w:rFonts w:eastAsia="ArialMT"/>
        </w:rPr>
        <w:t xml:space="preserve"> Science </w:t>
      </w:r>
      <w:r w:rsidR="000944B4" w:rsidRPr="0046783D">
        <w:rPr>
          <w:rFonts w:eastAsia="ArialMT"/>
        </w:rPr>
        <w:t>(ASA</w:t>
      </w:r>
      <w:r w:rsidR="002F0EC5">
        <w:rPr>
          <w:rFonts w:eastAsia="ArialMT"/>
        </w:rPr>
        <w:t>S</w:t>
      </w:r>
      <w:r w:rsidR="000944B4" w:rsidRPr="0046783D">
        <w:rPr>
          <w:rFonts w:eastAsia="ArialMT"/>
        </w:rPr>
        <w:t>)</w:t>
      </w:r>
      <w:r w:rsidR="00CC4F63" w:rsidRPr="0046783D">
        <w:rPr>
          <w:rFonts w:eastAsia="ArialMT"/>
        </w:rPr>
        <w:t>, International Embryo Technology Society</w:t>
      </w:r>
      <w:r w:rsidR="000944B4" w:rsidRPr="0046783D">
        <w:rPr>
          <w:rFonts w:eastAsia="ArialMT"/>
        </w:rPr>
        <w:t xml:space="preserve"> (IETS</w:t>
      </w:r>
      <w:r>
        <w:rPr>
          <w:rFonts w:eastAsia="ArialMT"/>
        </w:rPr>
        <w:t>).</w:t>
      </w:r>
    </w:p>
    <w:p w14:paraId="061E3D0C" w14:textId="2F83681F" w:rsidR="0046783D" w:rsidRDefault="0046783D" w:rsidP="004D6977">
      <w:pPr>
        <w:pStyle w:val="ListParagraph"/>
        <w:widowControl/>
        <w:numPr>
          <w:ilvl w:val="0"/>
          <w:numId w:val="13"/>
        </w:numPr>
        <w:autoSpaceDE/>
        <w:autoSpaceDN/>
        <w:adjustRightInd/>
        <w:ind w:left="0" w:firstLine="0"/>
        <w:contextualSpacing/>
        <w:rPr>
          <w:color w:val="000000" w:themeColor="text1"/>
        </w:rPr>
      </w:pPr>
      <w:r>
        <w:rPr>
          <w:color w:val="000000" w:themeColor="text1"/>
        </w:rPr>
        <w:t>Presentations were delivered by PI to stakeholder groups (producers and veterinarians) at stakeholder-organized conferences.</w:t>
      </w:r>
    </w:p>
    <w:p w14:paraId="1E1CA641" w14:textId="4C22D977" w:rsidR="00BF6253" w:rsidRDefault="00BF6253" w:rsidP="004D6977">
      <w:pPr>
        <w:rPr>
          <w:rFonts w:eastAsia="ArialMT"/>
        </w:rPr>
      </w:pPr>
    </w:p>
    <w:p w14:paraId="211982B8" w14:textId="7506EE25" w:rsidR="00BF6253" w:rsidRDefault="00BF6253" w:rsidP="004D6977">
      <w:pPr>
        <w:pStyle w:val="Default"/>
        <w:spacing w:after="240"/>
        <w:rPr>
          <w:b/>
          <w:bCs/>
          <w:sz w:val="23"/>
          <w:szCs w:val="23"/>
        </w:rPr>
      </w:pPr>
      <w:r>
        <w:rPr>
          <w:b/>
          <w:bCs/>
          <w:sz w:val="23"/>
          <w:szCs w:val="23"/>
        </w:rPr>
        <w:t xml:space="preserve">Plans for Next Reporting Period: </w:t>
      </w:r>
    </w:p>
    <w:p w14:paraId="39D39B79" w14:textId="77777777" w:rsidR="004D6977" w:rsidRPr="004D6977" w:rsidRDefault="004D6977" w:rsidP="004D6977">
      <w:pPr>
        <w:pStyle w:val="BodyText"/>
        <w:kinsoku w:val="0"/>
        <w:overflowPunct w:val="0"/>
        <w:ind w:left="0"/>
      </w:pPr>
      <w:r w:rsidRPr="004D6977">
        <w:rPr>
          <w:color w:val="FF0000"/>
        </w:rPr>
        <w:lastRenderedPageBreak/>
        <w:t>Examples below:</w:t>
      </w:r>
      <w:r w:rsidRPr="004D6977">
        <w:t xml:space="preserve"> </w:t>
      </w:r>
    </w:p>
    <w:p w14:paraId="0C231B1B" w14:textId="77777777" w:rsidR="004D6977" w:rsidRDefault="004D6977" w:rsidP="004D6977">
      <w:pPr>
        <w:pStyle w:val="Default"/>
        <w:rPr>
          <w:b/>
          <w:bCs/>
          <w:sz w:val="23"/>
          <w:szCs w:val="23"/>
        </w:rPr>
      </w:pPr>
    </w:p>
    <w:p w14:paraId="25EAECD1" w14:textId="2B37862C" w:rsidR="003D47E8" w:rsidRDefault="003D47E8" w:rsidP="004D6977">
      <w:pPr>
        <w:pStyle w:val="Default"/>
        <w:rPr>
          <w:b/>
          <w:bCs/>
          <w:sz w:val="23"/>
          <w:szCs w:val="23"/>
        </w:rPr>
      </w:pPr>
      <w:r>
        <w:rPr>
          <w:b/>
          <w:bCs/>
          <w:sz w:val="23"/>
          <w:szCs w:val="23"/>
        </w:rPr>
        <w:t>Objective 1:</w:t>
      </w:r>
    </w:p>
    <w:p w14:paraId="68F32F9C" w14:textId="2B5CEE7B" w:rsidR="009E0F4A" w:rsidRPr="009E0F4A" w:rsidRDefault="009E0F4A" w:rsidP="004D6977">
      <w:pPr>
        <w:pStyle w:val="Default"/>
        <w:numPr>
          <w:ilvl w:val="0"/>
          <w:numId w:val="16"/>
        </w:numPr>
        <w:spacing w:after="240"/>
        <w:ind w:left="0" w:firstLine="0"/>
        <w:rPr>
          <w:sz w:val="23"/>
          <w:szCs w:val="23"/>
        </w:rPr>
      </w:pPr>
      <w:r w:rsidRPr="009E0F4A">
        <w:rPr>
          <w:sz w:val="23"/>
          <w:szCs w:val="23"/>
        </w:rPr>
        <w:t>Studies are underway to evaluate the utilization of AMH to customize superstimulation treatments for the purpose of in vivo and in vitro embryo production in cattle and sheep.</w:t>
      </w:r>
    </w:p>
    <w:p w14:paraId="1CC34CF9" w14:textId="71CDE3DF" w:rsidR="003D47E8" w:rsidRDefault="003D47E8" w:rsidP="004D6977">
      <w:pPr>
        <w:pStyle w:val="Default"/>
        <w:rPr>
          <w:b/>
          <w:bCs/>
          <w:sz w:val="23"/>
          <w:szCs w:val="23"/>
        </w:rPr>
      </w:pPr>
      <w:r>
        <w:rPr>
          <w:b/>
          <w:bCs/>
          <w:sz w:val="23"/>
          <w:szCs w:val="23"/>
        </w:rPr>
        <w:t>Objective 2:</w:t>
      </w:r>
    </w:p>
    <w:p w14:paraId="5F26B4C0" w14:textId="60A37E15" w:rsidR="00B24100" w:rsidRPr="00B24100" w:rsidRDefault="00B56616" w:rsidP="004D6977">
      <w:pPr>
        <w:pStyle w:val="Default"/>
        <w:numPr>
          <w:ilvl w:val="0"/>
          <w:numId w:val="17"/>
        </w:numPr>
        <w:ind w:left="0" w:firstLine="0"/>
        <w:rPr>
          <w:b/>
          <w:bCs/>
          <w:sz w:val="23"/>
          <w:szCs w:val="23"/>
        </w:rPr>
      </w:pPr>
      <w:r>
        <w:rPr>
          <w:sz w:val="23"/>
          <w:szCs w:val="23"/>
        </w:rPr>
        <w:t>Studies to e</w:t>
      </w:r>
      <w:r w:rsidR="003B1F1E">
        <w:rPr>
          <w:sz w:val="23"/>
          <w:szCs w:val="23"/>
        </w:rPr>
        <w:t xml:space="preserve">valuate the </w:t>
      </w:r>
      <w:r w:rsidR="003B449D">
        <w:rPr>
          <w:sz w:val="23"/>
          <w:szCs w:val="23"/>
        </w:rPr>
        <w:t>effect of inhibiti</w:t>
      </w:r>
      <w:r>
        <w:rPr>
          <w:sz w:val="23"/>
          <w:szCs w:val="23"/>
        </w:rPr>
        <w:t xml:space="preserve">on of </w:t>
      </w:r>
      <w:r w:rsidR="00B24100">
        <w:rPr>
          <w:sz w:val="23"/>
          <w:szCs w:val="23"/>
        </w:rPr>
        <w:t xml:space="preserve">PGF2α secretion </w:t>
      </w:r>
      <w:r>
        <w:rPr>
          <w:sz w:val="23"/>
          <w:szCs w:val="23"/>
        </w:rPr>
        <w:t>on corpus luteum life span after</w:t>
      </w:r>
      <w:r w:rsidR="00B24100">
        <w:rPr>
          <w:sz w:val="23"/>
          <w:szCs w:val="23"/>
        </w:rPr>
        <w:t xml:space="preserve"> induced pregnancy loss during the second month of gestation are being pursued.</w:t>
      </w:r>
    </w:p>
    <w:p w14:paraId="3A888F29" w14:textId="77777777" w:rsidR="003B1F1E" w:rsidRDefault="003B1F1E" w:rsidP="004D6977">
      <w:pPr>
        <w:pStyle w:val="Default"/>
        <w:rPr>
          <w:b/>
          <w:bCs/>
          <w:sz w:val="23"/>
          <w:szCs w:val="23"/>
        </w:rPr>
      </w:pPr>
    </w:p>
    <w:p w14:paraId="6B9F5BDD" w14:textId="2680E972" w:rsidR="003D47E8" w:rsidRDefault="003D47E8" w:rsidP="004D6977">
      <w:pPr>
        <w:pStyle w:val="Default"/>
        <w:rPr>
          <w:b/>
          <w:bCs/>
          <w:sz w:val="23"/>
          <w:szCs w:val="23"/>
        </w:rPr>
      </w:pPr>
      <w:r>
        <w:rPr>
          <w:b/>
          <w:bCs/>
          <w:sz w:val="23"/>
          <w:szCs w:val="23"/>
        </w:rPr>
        <w:t>Objective 3:</w:t>
      </w:r>
    </w:p>
    <w:p w14:paraId="325EEC1C" w14:textId="0271943C" w:rsidR="00B24100" w:rsidRDefault="00B24100" w:rsidP="004D6977">
      <w:pPr>
        <w:pStyle w:val="Default"/>
        <w:numPr>
          <w:ilvl w:val="0"/>
          <w:numId w:val="18"/>
        </w:numPr>
        <w:ind w:left="0" w:firstLine="0"/>
        <w:rPr>
          <w:sz w:val="23"/>
          <w:szCs w:val="23"/>
        </w:rPr>
      </w:pPr>
      <w:r>
        <w:rPr>
          <w:sz w:val="23"/>
          <w:szCs w:val="23"/>
        </w:rPr>
        <w:t xml:space="preserve">Studies to evaluate the use of </w:t>
      </w:r>
      <w:r w:rsidR="003B1F1E">
        <w:rPr>
          <w:sz w:val="23"/>
          <w:szCs w:val="23"/>
        </w:rPr>
        <w:t xml:space="preserve">simplified </w:t>
      </w:r>
      <w:r>
        <w:rPr>
          <w:sz w:val="23"/>
          <w:szCs w:val="23"/>
        </w:rPr>
        <w:t>pre-synchronization prior to initiation of the 5-day CO-Synch in beef cattle to maximize ovulation to the initial GnRH are underway.</w:t>
      </w:r>
    </w:p>
    <w:p w14:paraId="26B9F305" w14:textId="70E04B28" w:rsidR="00B24100" w:rsidRDefault="003B1F1E" w:rsidP="004D6977">
      <w:pPr>
        <w:pStyle w:val="Default"/>
        <w:numPr>
          <w:ilvl w:val="0"/>
          <w:numId w:val="18"/>
        </w:numPr>
        <w:ind w:left="0" w:firstLine="0"/>
        <w:rPr>
          <w:sz w:val="23"/>
          <w:szCs w:val="23"/>
        </w:rPr>
      </w:pPr>
      <w:r>
        <w:rPr>
          <w:sz w:val="23"/>
          <w:szCs w:val="23"/>
        </w:rPr>
        <w:t>Completion of</w:t>
      </w:r>
      <w:r w:rsidR="00CC3AA2">
        <w:rPr>
          <w:sz w:val="23"/>
          <w:szCs w:val="23"/>
        </w:rPr>
        <w:t xml:space="preserve"> s</w:t>
      </w:r>
      <w:r w:rsidR="00B24100">
        <w:rPr>
          <w:sz w:val="23"/>
          <w:szCs w:val="23"/>
        </w:rPr>
        <w:t>tud</w:t>
      </w:r>
      <w:r w:rsidR="00CC3AA2">
        <w:rPr>
          <w:sz w:val="23"/>
          <w:szCs w:val="23"/>
        </w:rPr>
        <w:t>y</w:t>
      </w:r>
      <w:r w:rsidR="00B24100">
        <w:rPr>
          <w:sz w:val="23"/>
          <w:szCs w:val="23"/>
        </w:rPr>
        <w:t xml:space="preserve"> to evaluate the association between anogenital distance, AMH</w:t>
      </w:r>
      <w:r w:rsidR="00CC3AA2">
        <w:rPr>
          <w:sz w:val="23"/>
          <w:szCs w:val="23"/>
        </w:rPr>
        <w:t>,</w:t>
      </w:r>
      <w:r w:rsidR="00B24100">
        <w:rPr>
          <w:sz w:val="23"/>
          <w:szCs w:val="23"/>
        </w:rPr>
        <w:t xml:space="preserve"> the</w:t>
      </w:r>
      <w:r w:rsidR="00CC3AA2">
        <w:rPr>
          <w:sz w:val="23"/>
          <w:szCs w:val="23"/>
        </w:rPr>
        <w:t xml:space="preserve"> age at</w:t>
      </w:r>
      <w:r w:rsidR="00B24100">
        <w:rPr>
          <w:sz w:val="23"/>
          <w:szCs w:val="23"/>
        </w:rPr>
        <w:t xml:space="preserve"> onset of puberty</w:t>
      </w:r>
      <w:r w:rsidR="00CC3AA2">
        <w:rPr>
          <w:sz w:val="23"/>
          <w:szCs w:val="23"/>
        </w:rPr>
        <w:t xml:space="preserve"> and heifer fertility </w:t>
      </w:r>
      <w:r w:rsidR="00B24100">
        <w:rPr>
          <w:sz w:val="23"/>
          <w:szCs w:val="23"/>
        </w:rPr>
        <w:t>are currently underway.</w:t>
      </w:r>
    </w:p>
    <w:p w14:paraId="2515FBF6" w14:textId="77777777" w:rsidR="00BF6253" w:rsidRPr="00857BD4" w:rsidRDefault="00BF6253" w:rsidP="004D6977">
      <w:pPr>
        <w:pStyle w:val="Default"/>
        <w:rPr>
          <w:color w:val="FF0000"/>
          <w:sz w:val="23"/>
          <w:szCs w:val="23"/>
        </w:rPr>
      </w:pPr>
    </w:p>
    <w:p w14:paraId="576FCDB4" w14:textId="6F8B0C91" w:rsidR="00BF6253" w:rsidRDefault="00BF6253" w:rsidP="004D6977">
      <w:pPr>
        <w:pStyle w:val="Default"/>
        <w:spacing w:after="240"/>
        <w:rPr>
          <w:sz w:val="23"/>
          <w:szCs w:val="23"/>
        </w:rPr>
      </w:pPr>
      <w:r>
        <w:rPr>
          <w:b/>
          <w:bCs/>
          <w:sz w:val="23"/>
          <w:szCs w:val="23"/>
        </w:rPr>
        <w:t xml:space="preserve">Major Changes: </w:t>
      </w:r>
      <w:r w:rsidR="00923AB3" w:rsidRPr="00923AB3">
        <w:rPr>
          <w:sz w:val="23"/>
          <w:szCs w:val="23"/>
        </w:rPr>
        <w:t>Not applicable</w:t>
      </w:r>
    </w:p>
    <w:p w14:paraId="083F2B3E" w14:textId="77777777" w:rsidR="00BF6253" w:rsidRDefault="00BF6253" w:rsidP="004D6977">
      <w:pPr>
        <w:pStyle w:val="Default"/>
        <w:spacing w:after="240"/>
        <w:rPr>
          <w:sz w:val="23"/>
          <w:szCs w:val="23"/>
        </w:rPr>
      </w:pPr>
      <w:r>
        <w:rPr>
          <w:b/>
          <w:bCs/>
          <w:sz w:val="23"/>
          <w:szCs w:val="23"/>
        </w:rPr>
        <w:t xml:space="preserve">Support: </w:t>
      </w:r>
    </w:p>
    <w:p w14:paraId="517A42DC" w14:textId="77777777" w:rsidR="004D6977" w:rsidRPr="004D6977" w:rsidRDefault="004D6977" w:rsidP="004D6977">
      <w:pPr>
        <w:pStyle w:val="BodyText"/>
        <w:kinsoku w:val="0"/>
        <w:overflowPunct w:val="0"/>
        <w:ind w:left="0"/>
      </w:pPr>
      <w:r w:rsidRPr="004D6977">
        <w:rPr>
          <w:color w:val="FF0000"/>
        </w:rPr>
        <w:t>Examples below:</w:t>
      </w:r>
      <w:r w:rsidRPr="004D6977">
        <w:t xml:space="preserve"> </w:t>
      </w:r>
    </w:p>
    <w:p w14:paraId="6D63980F" w14:textId="0600416F" w:rsidR="003B5737" w:rsidRDefault="00DC3792" w:rsidP="004D6977">
      <w:pPr>
        <w:pStyle w:val="Default"/>
        <w:numPr>
          <w:ilvl w:val="0"/>
          <w:numId w:val="19"/>
        </w:numPr>
        <w:ind w:left="0" w:firstLine="0"/>
        <w:rPr>
          <w:color w:val="000000" w:themeColor="text1"/>
          <w:sz w:val="23"/>
          <w:szCs w:val="23"/>
        </w:rPr>
      </w:pPr>
      <w:r>
        <w:rPr>
          <w:color w:val="000000" w:themeColor="text1"/>
          <w:sz w:val="23"/>
          <w:szCs w:val="23"/>
        </w:rPr>
        <w:t xml:space="preserve">USDA NIFA/AFRI grant </w:t>
      </w:r>
      <w:r w:rsidRPr="00DC3792">
        <w:rPr>
          <w:color w:val="000000" w:themeColor="text1"/>
          <w:sz w:val="23"/>
          <w:szCs w:val="23"/>
        </w:rPr>
        <w:t>2021-67015-33838</w:t>
      </w:r>
    </w:p>
    <w:p w14:paraId="7A6AB07A" w14:textId="35A09AE8" w:rsidR="00BF6253" w:rsidRPr="00923AB3" w:rsidRDefault="00BF6253" w:rsidP="004D6977">
      <w:pPr>
        <w:pStyle w:val="Default"/>
        <w:numPr>
          <w:ilvl w:val="0"/>
          <w:numId w:val="19"/>
        </w:numPr>
        <w:ind w:left="0" w:firstLine="0"/>
        <w:rPr>
          <w:color w:val="000000" w:themeColor="text1"/>
          <w:sz w:val="23"/>
          <w:szCs w:val="23"/>
        </w:rPr>
      </w:pPr>
      <w:r w:rsidRPr="00923AB3">
        <w:rPr>
          <w:color w:val="000000" w:themeColor="text1"/>
          <w:sz w:val="23"/>
          <w:szCs w:val="23"/>
        </w:rPr>
        <w:t xml:space="preserve">Hatch Regional/Multistate Funds, </w:t>
      </w:r>
      <w:r w:rsidR="00D40258" w:rsidRPr="00923AB3">
        <w:rPr>
          <w:color w:val="000000" w:themeColor="text1"/>
          <w:sz w:val="23"/>
          <w:szCs w:val="23"/>
        </w:rPr>
        <w:t>The Ohio State University</w:t>
      </w:r>
    </w:p>
    <w:p w14:paraId="5EA26ED0" w14:textId="7F01351F" w:rsidR="00923AB3" w:rsidRPr="00923AB3" w:rsidRDefault="00923AB3" w:rsidP="004D6977">
      <w:pPr>
        <w:pStyle w:val="Default"/>
        <w:numPr>
          <w:ilvl w:val="0"/>
          <w:numId w:val="19"/>
        </w:numPr>
        <w:ind w:left="0" w:firstLine="0"/>
        <w:rPr>
          <w:color w:val="000000" w:themeColor="text1"/>
          <w:sz w:val="23"/>
          <w:szCs w:val="23"/>
        </w:rPr>
      </w:pPr>
      <w:r w:rsidRPr="00923AB3">
        <w:rPr>
          <w:color w:val="000000" w:themeColor="text1"/>
        </w:rPr>
        <w:t>OARDC SEEDS Early career investigator – The Ohio State University</w:t>
      </w:r>
    </w:p>
    <w:p w14:paraId="1C6F81FB" w14:textId="60180823" w:rsidR="00923AB3" w:rsidRDefault="00923AB3" w:rsidP="004827B0">
      <w:pPr>
        <w:pStyle w:val="Default"/>
        <w:rPr>
          <w:color w:val="FF0000"/>
          <w:sz w:val="23"/>
          <w:szCs w:val="23"/>
        </w:rPr>
      </w:pPr>
    </w:p>
    <w:p w14:paraId="6FF7127E" w14:textId="77777777" w:rsidR="00D40258" w:rsidRPr="00857BD4" w:rsidRDefault="00D40258" w:rsidP="004827B0">
      <w:pPr>
        <w:pStyle w:val="Default"/>
        <w:rPr>
          <w:color w:val="FF0000"/>
          <w:sz w:val="23"/>
          <w:szCs w:val="23"/>
        </w:rPr>
      </w:pPr>
    </w:p>
    <w:p w14:paraId="6A01390B" w14:textId="77777777" w:rsidR="00BF6253" w:rsidRDefault="00BF6253" w:rsidP="004827B0">
      <w:pPr>
        <w:pStyle w:val="Default"/>
        <w:rPr>
          <w:sz w:val="23"/>
          <w:szCs w:val="23"/>
        </w:rPr>
      </w:pPr>
      <w:r>
        <w:rPr>
          <w:b/>
          <w:bCs/>
          <w:sz w:val="23"/>
          <w:szCs w:val="23"/>
        </w:rPr>
        <w:t xml:space="preserve">Impact Statement: </w:t>
      </w:r>
    </w:p>
    <w:p w14:paraId="3C85BE91" w14:textId="71EC9903" w:rsidR="006E5668" w:rsidRDefault="006E5668" w:rsidP="004827B0">
      <w:pPr>
        <w:rPr>
          <w:color w:val="FF0000"/>
          <w:sz w:val="23"/>
          <w:szCs w:val="23"/>
        </w:rPr>
      </w:pPr>
    </w:p>
    <w:p w14:paraId="021D22DD" w14:textId="32CF26BE" w:rsidR="004D6977" w:rsidRPr="004D6977" w:rsidRDefault="004D6977" w:rsidP="004D6977">
      <w:pPr>
        <w:pStyle w:val="BodyText"/>
        <w:kinsoku w:val="0"/>
        <w:overflowPunct w:val="0"/>
        <w:ind w:left="0"/>
      </w:pPr>
      <w:r w:rsidRPr="004D6977">
        <w:rPr>
          <w:color w:val="FF0000"/>
        </w:rPr>
        <w:t>Example below:</w:t>
      </w:r>
      <w:r w:rsidRPr="004D6977">
        <w:t xml:space="preserve"> </w:t>
      </w:r>
    </w:p>
    <w:p w14:paraId="5905E321" w14:textId="46E339C7" w:rsidR="00B24100" w:rsidRPr="004259C1" w:rsidRDefault="00CC3AA2" w:rsidP="004827B0">
      <w:pPr>
        <w:ind w:firstLine="450"/>
        <w:rPr>
          <w:color w:val="000000" w:themeColor="text1"/>
        </w:rPr>
      </w:pPr>
      <w:r w:rsidRPr="004259C1">
        <w:rPr>
          <w:color w:val="000000" w:themeColor="text1"/>
        </w:rPr>
        <w:t xml:space="preserve">Pregnancy loss during the second month of </w:t>
      </w:r>
      <w:r w:rsidR="00FE30AD" w:rsidRPr="004259C1">
        <w:rPr>
          <w:color w:val="000000" w:themeColor="text1"/>
        </w:rPr>
        <w:t>gestation</w:t>
      </w:r>
      <w:r w:rsidRPr="004259C1">
        <w:rPr>
          <w:color w:val="000000" w:themeColor="text1"/>
        </w:rPr>
        <w:t xml:space="preserve"> vary between 5% to 50% depending on the type of breeding strategy utilized among other factors.</w:t>
      </w:r>
      <w:r w:rsidR="00B24100" w:rsidRPr="004259C1">
        <w:rPr>
          <w:color w:val="000000" w:themeColor="text1"/>
        </w:rPr>
        <w:t xml:space="preserve"> Pregnancy loss can result in significant economic losses and the economic impacts of pregnancy losses increase as stage of gestation advances due to the failure to produce the product of economic </w:t>
      </w:r>
      <w:r w:rsidR="00B41DC4" w:rsidRPr="004259C1">
        <w:rPr>
          <w:color w:val="000000" w:themeColor="text1"/>
        </w:rPr>
        <w:t>value</w:t>
      </w:r>
      <w:r w:rsidR="00B41DC4">
        <w:rPr>
          <w:color w:val="000000" w:themeColor="text1"/>
        </w:rPr>
        <w:t>.</w:t>
      </w:r>
      <w:r w:rsidR="00B41DC4" w:rsidRPr="004259C1">
        <w:rPr>
          <w:color w:val="000000" w:themeColor="text1"/>
        </w:rPr>
        <w:t xml:space="preserve"> Insight</w:t>
      </w:r>
      <w:r w:rsidR="00B24100" w:rsidRPr="004259C1">
        <w:rPr>
          <w:color w:val="000000" w:themeColor="text1"/>
        </w:rPr>
        <w:t xml:space="preserve"> gained from our research provide</w:t>
      </w:r>
      <w:r w:rsidRPr="004259C1">
        <w:rPr>
          <w:color w:val="000000" w:themeColor="text1"/>
        </w:rPr>
        <w:t>s</w:t>
      </w:r>
      <w:r w:rsidR="00B24100" w:rsidRPr="004259C1">
        <w:rPr>
          <w:color w:val="000000" w:themeColor="text1"/>
        </w:rPr>
        <w:t xml:space="preserve"> important information to advance the understanding of the mechanisms that govern the maintenance of pregnancy, </w:t>
      </w:r>
      <w:r w:rsidRPr="004259C1">
        <w:rPr>
          <w:color w:val="000000" w:themeColor="text1"/>
        </w:rPr>
        <w:t xml:space="preserve">ultimately allowing </w:t>
      </w:r>
      <w:r w:rsidR="00B24100" w:rsidRPr="004259C1">
        <w:rPr>
          <w:color w:val="000000" w:themeColor="text1"/>
        </w:rPr>
        <w:t>for the development of strategies to reduce pregnancy loss and, thus, increase reproductive efficiency.</w:t>
      </w:r>
    </w:p>
    <w:p w14:paraId="2B9EC38B" w14:textId="726A8BAB" w:rsidR="00CC3AA2" w:rsidRPr="004259C1" w:rsidRDefault="00CC3AA2" w:rsidP="004827B0">
      <w:pPr>
        <w:ind w:firstLine="450"/>
        <w:rPr>
          <w:color w:val="000000" w:themeColor="text1"/>
        </w:rPr>
      </w:pPr>
      <w:r w:rsidRPr="004259C1">
        <w:rPr>
          <w:color w:val="000000" w:themeColor="text1"/>
        </w:rPr>
        <w:t xml:space="preserve">The success of reproductive technologies in ruminants such as fixed time AI and ET rely on the ability to adequately control the estrous cycle. The research </w:t>
      </w:r>
      <w:r w:rsidR="004259C1" w:rsidRPr="004259C1">
        <w:rPr>
          <w:color w:val="000000" w:themeColor="text1"/>
        </w:rPr>
        <w:t>from the Ohio State NE-1727</w:t>
      </w:r>
      <w:r w:rsidRPr="004259C1">
        <w:rPr>
          <w:color w:val="000000" w:themeColor="text1"/>
        </w:rPr>
        <w:t xml:space="preserve"> </w:t>
      </w:r>
      <w:r w:rsidR="004259C1" w:rsidRPr="004259C1">
        <w:rPr>
          <w:color w:val="000000" w:themeColor="text1"/>
        </w:rPr>
        <w:t>has focused in the development and testing of strategies to improve synchronization, earlier identification of non-pregnant animals and identification of phenotypes associated with superior fertility after both AI and ET.</w:t>
      </w:r>
    </w:p>
    <w:sectPr w:rsidR="00CC3AA2" w:rsidRPr="004259C1" w:rsidSect="00190380">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EF" w:usb1="C0007841" w:usb2="00000009" w:usb3="00000000" w:csb0="000001FF" w:csb1="00000000"/>
  </w:font>
  <w:font w:name="ArialMT">
    <w:altName w:val="Arial"/>
    <w:charset w:val="00"/>
    <w:family w:val="swiss"/>
    <w:pitch w:val="variable"/>
    <w:sig w:usb0="00000081"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EEE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100" w:hanging="303"/>
      </w:pPr>
      <w:rPr>
        <w:rFonts w:ascii="Times New Roman" w:hAnsi="Times New Roman" w:cs="Times New Roman"/>
        <w:b w:val="0"/>
        <w:bCs w:val="0"/>
        <w:sz w:val="24"/>
        <w:szCs w:val="24"/>
      </w:rPr>
    </w:lvl>
    <w:lvl w:ilvl="1">
      <w:numFmt w:val="bullet"/>
      <w:lvlText w:val="•"/>
      <w:lvlJc w:val="left"/>
      <w:pPr>
        <w:ind w:left="1042" w:hanging="303"/>
      </w:pPr>
    </w:lvl>
    <w:lvl w:ilvl="2">
      <w:numFmt w:val="bullet"/>
      <w:lvlText w:val="•"/>
      <w:lvlJc w:val="left"/>
      <w:pPr>
        <w:ind w:left="1984" w:hanging="303"/>
      </w:pPr>
    </w:lvl>
    <w:lvl w:ilvl="3">
      <w:numFmt w:val="bullet"/>
      <w:lvlText w:val="•"/>
      <w:lvlJc w:val="left"/>
      <w:pPr>
        <w:ind w:left="2926" w:hanging="303"/>
      </w:pPr>
    </w:lvl>
    <w:lvl w:ilvl="4">
      <w:numFmt w:val="bullet"/>
      <w:lvlText w:val="•"/>
      <w:lvlJc w:val="left"/>
      <w:pPr>
        <w:ind w:left="3868" w:hanging="303"/>
      </w:pPr>
    </w:lvl>
    <w:lvl w:ilvl="5">
      <w:numFmt w:val="bullet"/>
      <w:lvlText w:val="•"/>
      <w:lvlJc w:val="left"/>
      <w:pPr>
        <w:ind w:left="4810" w:hanging="303"/>
      </w:pPr>
    </w:lvl>
    <w:lvl w:ilvl="6">
      <w:numFmt w:val="bullet"/>
      <w:lvlText w:val="•"/>
      <w:lvlJc w:val="left"/>
      <w:pPr>
        <w:ind w:left="5752" w:hanging="303"/>
      </w:pPr>
    </w:lvl>
    <w:lvl w:ilvl="7">
      <w:numFmt w:val="bullet"/>
      <w:lvlText w:val="•"/>
      <w:lvlJc w:val="left"/>
      <w:pPr>
        <w:ind w:left="6694" w:hanging="303"/>
      </w:pPr>
    </w:lvl>
    <w:lvl w:ilvl="8">
      <w:numFmt w:val="bullet"/>
      <w:lvlText w:val="•"/>
      <w:lvlJc w:val="left"/>
      <w:pPr>
        <w:ind w:left="7636" w:hanging="303"/>
      </w:pPr>
    </w:lvl>
  </w:abstractNum>
  <w:abstractNum w:abstractNumId="2" w15:restartNumberingAfterBreak="0">
    <w:nsid w:val="00000403"/>
    <w:multiLevelType w:val="multilevel"/>
    <w:tmpl w:val="00000886"/>
    <w:lvl w:ilvl="0">
      <w:start w:val="1"/>
      <w:numFmt w:val="decimal"/>
      <w:lvlText w:val="%1)"/>
      <w:lvlJc w:val="left"/>
      <w:pPr>
        <w:ind w:left="460" w:hanging="360"/>
      </w:pPr>
      <w:rPr>
        <w:rFonts w:ascii="Times New Roman" w:hAnsi="Times New Roman" w:cs="Times New Roman"/>
        <w:b w:val="0"/>
        <w:bCs w:val="0"/>
        <w:sz w:val="24"/>
        <w:szCs w:val="24"/>
      </w:rPr>
    </w:lvl>
    <w:lvl w:ilvl="1">
      <w:start w:val="1"/>
      <w:numFmt w:val="lowerLetter"/>
      <w:lvlText w:val="%2."/>
      <w:lvlJc w:val="left"/>
      <w:pPr>
        <w:ind w:left="1180" w:hanging="720"/>
      </w:pPr>
      <w:rPr>
        <w:rFonts w:ascii="Times New Roman" w:hAnsi="Times New Roman" w:cs="Times New Roman"/>
        <w:b w:val="0"/>
        <w:bCs w:val="0"/>
        <w:spacing w:val="-1"/>
        <w:sz w:val="24"/>
        <w:szCs w:val="24"/>
      </w:rPr>
    </w:lvl>
    <w:lvl w:ilvl="2">
      <w:start w:val="1"/>
      <w:numFmt w:val="lowerRoman"/>
      <w:lvlText w:val="%3."/>
      <w:lvlJc w:val="left"/>
      <w:pPr>
        <w:ind w:left="1900" w:hanging="308"/>
      </w:pPr>
      <w:rPr>
        <w:rFonts w:ascii="Times New Roman" w:hAnsi="Times New Roman" w:cs="Times New Roman"/>
        <w:b w:val="0"/>
        <w:bCs w:val="0"/>
        <w:sz w:val="24"/>
        <w:szCs w:val="24"/>
      </w:rPr>
    </w:lvl>
    <w:lvl w:ilvl="3">
      <w:numFmt w:val="bullet"/>
      <w:lvlText w:val="•"/>
      <w:lvlJc w:val="left"/>
      <w:pPr>
        <w:ind w:left="2855" w:hanging="308"/>
      </w:pPr>
    </w:lvl>
    <w:lvl w:ilvl="4">
      <w:numFmt w:val="bullet"/>
      <w:lvlText w:val="•"/>
      <w:lvlJc w:val="left"/>
      <w:pPr>
        <w:ind w:left="3810" w:hanging="308"/>
      </w:pPr>
    </w:lvl>
    <w:lvl w:ilvl="5">
      <w:numFmt w:val="bullet"/>
      <w:lvlText w:val="•"/>
      <w:lvlJc w:val="left"/>
      <w:pPr>
        <w:ind w:left="4765" w:hanging="308"/>
      </w:pPr>
    </w:lvl>
    <w:lvl w:ilvl="6">
      <w:numFmt w:val="bullet"/>
      <w:lvlText w:val="•"/>
      <w:lvlJc w:val="left"/>
      <w:pPr>
        <w:ind w:left="5720" w:hanging="308"/>
      </w:pPr>
    </w:lvl>
    <w:lvl w:ilvl="7">
      <w:numFmt w:val="bullet"/>
      <w:lvlText w:val="•"/>
      <w:lvlJc w:val="left"/>
      <w:pPr>
        <w:ind w:left="6675" w:hanging="308"/>
      </w:pPr>
    </w:lvl>
    <w:lvl w:ilvl="8">
      <w:numFmt w:val="bullet"/>
      <w:lvlText w:val="•"/>
      <w:lvlJc w:val="left"/>
      <w:pPr>
        <w:ind w:left="7630" w:hanging="308"/>
      </w:pPr>
    </w:lvl>
  </w:abstractNum>
  <w:abstractNum w:abstractNumId="3" w15:restartNumberingAfterBreak="0">
    <w:nsid w:val="00000404"/>
    <w:multiLevelType w:val="multilevel"/>
    <w:tmpl w:val="00000887"/>
    <w:lvl w:ilvl="0">
      <w:start w:val="1"/>
      <w:numFmt w:val="decimal"/>
      <w:lvlText w:val="%1)"/>
      <w:lvlJc w:val="left"/>
      <w:pPr>
        <w:ind w:left="460" w:hanging="360"/>
      </w:pPr>
      <w:rPr>
        <w:rFonts w:ascii="Times New Roman" w:hAnsi="Times New Roman" w:cs="Times New Roman"/>
        <w:b w:val="0"/>
        <w:bCs w:val="0"/>
        <w:sz w:val="24"/>
        <w:szCs w:val="24"/>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4" w15:restartNumberingAfterBreak="0">
    <w:nsid w:val="00000405"/>
    <w:multiLevelType w:val="multilevel"/>
    <w:tmpl w:val="00000888"/>
    <w:lvl w:ilvl="0">
      <w:start w:val="1"/>
      <w:numFmt w:val="decimal"/>
      <w:lvlText w:val="%1)"/>
      <w:lvlJc w:val="left"/>
      <w:pPr>
        <w:ind w:left="460" w:hanging="360"/>
      </w:pPr>
      <w:rPr>
        <w:rFonts w:ascii="Times New Roman" w:hAnsi="Times New Roman" w:cs="Times New Roman"/>
        <w:b w:val="0"/>
        <w:bCs w:val="0"/>
        <w:sz w:val="24"/>
        <w:szCs w:val="24"/>
      </w:rPr>
    </w:lvl>
    <w:lvl w:ilvl="1">
      <w:start w:val="1"/>
      <w:numFmt w:val="lowerLetter"/>
      <w:lvlText w:val="%2."/>
      <w:lvlJc w:val="left"/>
      <w:pPr>
        <w:ind w:left="1180" w:hanging="360"/>
      </w:pPr>
      <w:rPr>
        <w:rFonts w:ascii="Times New Roman" w:hAnsi="Times New Roman" w:cs="Times New Roman"/>
        <w:b w:val="0"/>
        <w:bCs w:val="0"/>
        <w:spacing w:val="-1"/>
        <w:sz w:val="24"/>
        <w:szCs w:val="24"/>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5" w15:restartNumberingAfterBreak="0">
    <w:nsid w:val="00000406"/>
    <w:multiLevelType w:val="multilevel"/>
    <w:tmpl w:val="00000889"/>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6" w15:restartNumberingAfterBreak="0">
    <w:nsid w:val="00000407"/>
    <w:multiLevelType w:val="multilevel"/>
    <w:tmpl w:val="0000088A"/>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7" w15:restartNumberingAfterBreak="0">
    <w:nsid w:val="00E052E3"/>
    <w:multiLevelType w:val="hybridMultilevel"/>
    <w:tmpl w:val="1528F082"/>
    <w:lvl w:ilvl="0" w:tplc="2E18D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141AF"/>
    <w:multiLevelType w:val="hybridMultilevel"/>
    <w:tmpl w:val="318AF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FA1691"/>
    <w:multiLevelType w:val="hybridMultilevel"/>
    <w:tmpl w:val="D6E8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63B3B"/>
    <w:multiLevelType w:val="hybridMultilevel"/>
    <w:tmpl w:val="25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B1581"/>
    <w:multiLevelType w:val="hybridMultilevel"/>
    <w:tmpl w:val="4E24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323BF"/>
    <w:multiLevelType w:val="hybridMultilevel"/>
    <w:tmpl w:val="788290A8"/>
    <w:lvl w:ilvl="0" w:tplc="33327F16">
      <w:start w:val="1"/>
      <w:numFmt w:val="decimal"/>
      <w:lvlText w:val="%1."/>
      <w:lvlJc w:val="left"/>
      <w:pPr>
        <w:ind w:left="1080" w:hanging="360"/>
      </w:pPr>
      <w:rPr>
        <w:b w:val="0"/>
        <w:bCs/>
        <w:i w:val="0"/>
        <w:iCs/>
      </w:rPr>
    </w:lvl>
    <w:lvl w:ilvl="1" w:tplc="0C907162">
      <w:start w:val="1"/>
      <w:numFmt w:val="upp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A8017C"/>
    <w:multiLevelType w:val="hybridMultilevel"/>
    <w:tmpl w:val="565433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53244273"/>
    <w:multiLevelType w:val="hybridMultilevel"/>
    <w:tmpl w:val="1D44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2458F"/>
    <w:multiLevelType w:val="hybridMultilevel"/>
    <w:tmpl w:val="A4FAB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012D9F"/>
    <w:multiLevelType w:val="hybridMultilevel"/>
    <w:tmpl w:val="3C120E78"/>
    <w:lvl w:ilvl="0" w:tplc="5080AAF4">
      <w:start w:val="1"/>
      <w:numFmt w:val="decimal"/>
      <w:lvlText w:val="%1."/>
      <w:lvlJc w:val="left"/>
      <w:pPr>
        <w:ind w:left="1091" w:hanging="360"/>
      </w:pPr>
      <w:rPr>
        <w:b w:val="0"/>
        <w:bCs/>
      </w:rPr>
    </w:lvl>
    <w:lvl w:ilvl="1" w:tplc="5B6CD80E">
      <w:start w:val="1"/>
      <w:numFmt w:val="upperLetter"/>
      <w:lvlText w:val="%2."/>
      <w:lvlJc w:val="left"/>
      <w:pPr>
        <w:ind w:left="1811" w:hanging="360"/>
      </w:pPr>
      <w:rPr>
        <w:rFonts w:hint="default"/>
        <w:b/>
      </w:r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7" w15:restartNumberingAfterBreak="0">
    <w:nsid w:val="70FE0BB8"/>
    <w:multiLevelType w:val="hybridMultilevel"/>
    <w:tmpl w:val="7150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306BB"/>
    <w:multiLevelType w:val="hybridMultilevel"/>
    <w:tmpl w:val="DD8A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E1DB8"/>
    <w:multiLevelType w:val="hybridMultilevel"/>
    <w:tmpl w:val="9D86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861778">
    <w:abstractNumId w:val="6"/>
  </w:num>
  <w:num w:numId="2" w16cid:durableId="334770721">
    <w:abstractNumId w:val="5"/>
  </w:num>
  <w:num w:numId="3" w16cid:durableId="631131044">
    <w:abstractNumId w:val="4"/>
  </w:num>
  <w:num w:numId="4" w16cid:durableId="1565490383">
    <w:abstractNumId w:val="3"/>
  </w:num>
  <w:num w:numId="5" w16cid:durableId="1155998769">
    <w:abstractNumId w:val="2"/>
  </w:num>
  <w:num w:numId="6" w16cid:durableId="420101786">
    <w:abstractNumId w:val="1"/>
  </w:num>
  <w:num w:numId="7" w16cid:durableId="1766226926">
    <w:abstractNumId w:val="0"/>
  </w:num>
  <w:num w:numId="8" w16cid:durableId="1965693113">
    <w:abstractNumId w:val="7"/>
  </w:num>
  <w:num w:numId="9" w16cid:durableId="692338608">
    <w:abstractNumId w:val="19"/>
  </w:num>
  <w:num w:numId="10" w16cid:durableId="601913019">
    <w:abstractNumId w:val="14"/>
  </w:num>
  <w:num w:numId="11" w16cid:durableId="2062096344">
    <w:abstractNumId w:val="13"/>
  </w:num>
  <w:num w:numId="12" w16cid:durableId="1038092864">
    <w:abstractNumId w:val="15"/>
  </w:num>
  <w:num w:numId="13" w16cid:durableId="1224868932">
    <w:abstractNumId w:val="17"/>
  </w:num>
  <w:num w:numId="14" w16cid:durableId="361250830">
    <w:abstractNumId w:val="8"/>
  </w:num>
  <w:num w:numId="15" w16cid:durableId="1725831077">
    <w:abstractNumId w:val="8"/>
  </w:num>
  <w:num w:numId="16" w16cid:durableId="527765430">
    <w:abstractNumId w:val="10"/>
  </w:num>
  <w:num w:numId="17" w16cid:durableId="2066180396">
    <w:abstractNumId w:val="9"/>
  </w:num>
  <w:num w:numId="18" w16cid:durableId="1063407920">
    <w:abstractNumId w:val="18"/>
  </w:num>
  <w:num w:numId="19" w16cid:durableId="1814057723">
    <w:abstractNumId w:val="11"/>
  </w:num>
  <w:num w:numId="20" w16cid:durableId="1378625335">
    <w:abstractNumId w:val="16"/>
  </w:num>
  <w:num w:numId="21" w16cid:durableId="14572126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c0MrM0NDU3N7Y0NLRQ0lEKTi0uzszPAykwrAUAtq9jUSwAAAA="/>
  </w:docVars>
  <w:rsids>
    <w:rsidRoot w:val="00E072C4"/>
    <w:rsid w:val="0000408F"/>
    <w:rsid w:val="000130C2"/>
    <w:rsid w:val="00030756"/>
    <w:rsid w:val="0005792B"/>
    <w:rsid w:val="00062386"/>
    <w:rsid w:val="0006431C"/>
    <w:rsid w:val="00093C83"/>
    <w:rsid w:val="000944B4"/>
    <w:rsid w:val="00094CFA"/>
    <w:rsid w:val="000A123C"/>
    <w:rsid w:val="000B3F1B"/>
    <w:rsid w:val="000E38C6"/>
    <w:rsid w:val="000F76FC"/>
    <w:rsid w:val="00105CAE"/>
    <w:rsid w:val="00111535"/>
    <w:rsid w:val="00115289"/>
    <w:rsid w:val="00120FD2"/>
    <w:rsid w:val="00124D89"/>
    <w:rsid w:val="00131610"/>
    <w:rsid w:val="001407AF"/>
    <w:rsid w:val="00147898"/>
    <w:rsid w:val="00150E95"/>
    <w:rsid w:val="00167126"/>
    <w:rsid w:val="00174541"/>
    <w:rsid w:val="00181B03"/>
    <w:rsid w:val="00190380"/>
    <w:rsid w:val="001B605B"/>
    <w:rsid w:val="001C2192"/>
    <w:rsid w:val="001D1B44"/>
    <w:rsid w:val="001E4887"/>
    <w:rsid w:val="001F7B69"/>
    <w:rsid w:val="00201C2E"/>
    <w:rsid w:val="002106AB"/>
    <w:rsid w:val="0021764E"/>
    <w:rsid w:val="00225935"/>
    <w:rsid w:val="0022695D"/>
    <w:rsid w:val="00235C23"/>
    <w:rsid w:val="00260043"/>
    <w:rsid w:val="002610E5"/>
    <w:rsid w:val="00264057"/>
    <w:rsid w:val="002709D2"/>
    <w:rsid w:val="00277141"/>
    <w:rsid w:val="002A64F8"/>
    <w:rsid w:val="002C0EA3"/>
    <w:rsid w:val="002E48D2"/>
    <w:rsid w:val="002E4D9B"/>
    <w:rsid w:val="002F0EC5"/>
    <w:rsid w:val="0032297E"/>
    <w:rsid w:val="0032455B"/>
    <w:rsid w:val="003269E0"/>
    <w:rsid w:val="00340F0F"/>
    <w:rsid w:val="00385D3D"/>
    <w:rsid w:val="003B0470"/>
    <w:rsid w:val="003B1F1E"/>
    <w:rsid w:val="003B3EC5"/>
    <w:rsid w:val="003B449D"/>
    <w:rsid w:val="003B5737"/>
    <w:rsid w:val="003B7237"/>
    <w:rsid w:val="003C1F65"/>
    <w:rsid w:val="003C20FD"/>
    <w:rsid w:val="003C4112"/>
    <w:rsid w:val="003C6760"/>
    <w:rsid w:val="003D1A7F"/>
    <w:rsid w:val="003D1FEE"/>
    <w:rsid w:val="003D47E8"/>
    <w:rsid w:val="0041704A"/>
    <w:rsid w:val="00422D2D"/>
    <w:rsid w:val="004259C1"/>
    <w:rsid w:val="00427947"/>
    <w:rsid w:val="00445F88"/>
    <w:rsid w:val="00466350"/>
    <w:rsid w:val="0046783D"/>
    <w:rsid w:val="004827B0"/>
    <w:rsid w:val="00494D02"/>
    <w:rsid w:val="004A37A7"/>
    <w:rsid w:val="004D34F6"/>
    <w:rsid w:val="004D6977"/>
    <w:rsid w:val="004E5407"/>
    <w:rsid w:val="004F191C"/>
    <w:rsid w:val="00506601"/>
    <w:rsid w:val="005352C6"/>
    <w:rsid w:val="005364A2"/>
    <w:rsid w:val="00554841"/>
    <w:rsid w:val="00554895"/>
    <w:rsid w:val="00555E88"/>
    <w:rsid w:val="005665DC"/>
    <w:rsid w:val="0056791B"/>
    <w:rsid w:val="005847B6"/>
    <w:rsid w:val="005901AD"/>
    <w:rsid w:val="005A2B5E"/>
    <w:rsid w:val="005B39D5"/>
    <w:rsid w:val="00630171"/>
    <w:rsid w:val="006434D6"/>
    <w:rsid w:val="00643FBE"/>
    <w:rsid w:val="0065157A"/>
    <w:rsid w:val="006962F6"/>
    <w:rsid w:val="006A6B4B"/>
    <w:rsid w:val="006E5668"/>
    <w:rsid w:val="006F130F"/>
    <w:rsid w:val="00707E8E"/>
    <w:rsid w:val="0075689F"/>
    <w:rsid w:val="00762894"/>
    <w:rsid w:val="00766D49"/>
    <w:rsid w:val="00767444"/>
    <w:rsid w:val="00774A6F"/>
    <w:rsid w:val="00784753"/>
    <w:rsid w:val="007A245C"/>
    <w:rsid w:val="007B5678"/>
    <w:rsid w:val="007C3A6E"/>
    <w:rsid w:val="007D403A"/>
    <w:rsid w:val="007E2665"/>
    <w:rsid w:val="007E3230"/>
    <w:rsid w:val="00807942"/>
    <w:rsid w:val="008264B6"/>
    <w:rsid w:val="00851026"/>
    <w:rsid w:val="00857BD4"/>
    <w:rsid w:val="0087558C"/>
    <w:rsid w:val="0088360F"/>
    <w:rsid w:val="008945DB"/>
    <w:rsid w:val="008A62E7"/>
    <w:rsid w:val="008D1911"/>
    <w:rsid w:val="008D31BB"/>
    <w:rsid w:val="008D37FA"/>
    <w:rsid w:val="008D60F7"/>
    <w:rsid w:val="008F5D11"/>
    <w:rsid w:val="008F6941"/>
    <w:rsid w:val="00903D4E"/>
    <w:rsid w:val="00914FB6"/>
    <w:rsid w:val="00923AB3"/>
    <w:rsid w:val="009257F6"/>
    <w:rsid w:val="00926FE1"/>
    <w:rsid w:val="00940669"/>
    <w:rsid w:val="00980DF5"/>
    <w:rsid w:val="00983769"/>
    <w:rsid w:val="009A5345"/>
    <w:rsid w:val="009B5424"/>
    <w:rsid w:val="009C73FD"/>
    <w:rsid w:val="009D1D8A"/>
    <w:rsid w:val="009E0F4A"/>
    <w:rsid w:val="009F4A3E"/>
    <w:rsid w:val="00A31B04"/>
    <w:rsid w:val="00A34EDF"/>
    <w:rsid w:val="00A41D5D"/>
    <w:rsid w:val="00A425AF"/>
    <w:rsid w:val="00A62B23"/>
    <w:rsid w:val="00A75AD0"/>
    <w:rsid w:val="00A762DE"/>
    <w:rsid w:val="00A974A6"/>
    <w:rsid w:val="00A97E3D"/>
    <w:rsid w:val="00AB0F6E"/>
    <w:rsid w:val="00AB26B9"/>
    <w:rsid w:val="00AF52B8"/>
    <w:rsid w:val="00AF5A35"/>
    <w:rsid w:val="00AF7569"/>
    <w:rsid w:val="00B016FE"/>
    <w:rsid w:val="00B0680F"/>
    <w:rsid w:val="00B10FA1"/>
    <w:rsid w:val="00B1535B"/>
    <w:rsid w:val="00B16F0C"/>
    <w:rsid w:val="00B24100"/>
    <w:rsid w:val="00B24748"/>
    <w:rsid w:val="00B41DC4"/>
    <w:rsid w:val="00B56616"/>
    <w:rsid w:val="00B65916"/>
    <w:rsid w:val="00B70C09"/>
    <w:rsid w:val="00B819C3"/>
    <w:rsid w:val="00BB7E00"/>
    <w:rsid w:val="00BC13C9"/>
    <w:rsid w:val="00BC49AB"/>
    <w:rsid w:val="00BC6CF6"/>
    <w:rsid w:val="00BF142C"/>
    <w:rsid w:val="00BF6253"/>
    <w:rsid w:val="00C0166E"/>
    <w:rsid w:val="00C11664"/>
    <w:rsid w:val="00C33B7A"/>
    <w:rsid w:val="00C53EF4"/>
    <w:rsid w:val="00C55801"/>
    <w:rsid w:val="00C604D8"/>
    <w:rsid w:val="00C642FF"/>
    <w:rsid w:val="00C70372"/>
    <w:rsid w:val="00CB5A29"/>
    <w:rsid w:val="00CC3AA2"/>
    <w:rsid w:val="00CC4F63"/>
    <w:rsid w:val="00CD056F"/>
    <w:rsid w:val="00CD546A"/>
    <w:rsid w:val="00CE21A9"/>
    <w:rsid w:val="00CE7313"/>
    <w:rsid w:val="00CF51CE"/>
    <w:rsid w:val="00D044D5"/>
    <w:rsid w:val="00D40258"/>
    <w:rsid w:val="00D463AE"/>
    <w:rsid w:val="00D80412"/>
    <w:rsid w:val="00D93381"/>
    <w:rsid w:val="00DA082C"/>
    <w:rsid w:val="00DB0808"/>
    <w:rsid w:val="00DB1FF8"/>
    <w:rsid w:val="00DC3792"/>
    <w:rsid w:val="00DD3219"/>
    <w:rsid w:val="00DE2422"/>
    <w:rsid w:val="00DE4DBD"/>
    <w:rsid w:val="00E01AF4"/>
    <w:rsid w:val="00E028A0"/>
    <w:rsid w:val="00E072C4"/>
    <w:rsid w:val="00E1164D"/>
    <w:rsid w:val="00E13104"/>
    <w:rsid w:val="00E3349D"/>
    <w:rsid w:val="00E475BD"/>
    <w:rsid w:val="00E478AD"/>
    <w:rsid w:val="00E55DDA"/>
    <w:rsid w:val="00E60C8F"/>
    <w:rsid w:val="00E638B2"/>
    <w:rsid w:val="00E67252"/>
    <w:rsid w:val="00E92546"/>
    <w:rsid w:val="00E97A62"/>
    <w:rsid w:val="00EC28DF"/>
    <w:rsid w:val="00ED06E7"/>
    <w:rsid w:val="00EE0397"/>
    <w:rsid w:val="00EF116B"/>
    <w:rsid w:val="00EF771F"/>
    <w:rsid w:val="00F03522"/>
    <w:rsid w:val="00F045FC"/>
    <w:rsid w:val="00F379F4"/>
    <w:rsid w:val="00F413CB"/>
    <w:rsid w:val="00F947B9"/>
    <w:rsid w:val="00F96F63"/>
    <w:rsid w:val="00FA61D7"/>
    <w:rsid w:val="00FB3EE4"/>
    <w:rsid w:val="00FC3F0C"/>
    <w:rsid w:val="00FC45AA"/>
    <w:rsid w:val="00FC6EBC"/>
    <w:rsid w:val="00FD4C3D"/>
    <w:rsid w:val="00FE0949"/>
    <w:rsid w:val="00FE30AD"/>
    <w:rsid w:val="00FF3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D92C4"/>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57"/>
      <w:ind w:left="100"/>
      <w:outlineLvl w:val="0"/>
    </w:pPr>
    <w:rPr>
      <w:b/>
      <w:bCs/>
    </w:rPr>
  </w:style>
  <w:style w:type="paragraph" w:styleId="Heading2">
    <w:name w:val="heading 2"/>
    <w:basedOn w:val="Normal"/>
    <w:next w:val="Normal"/>
    <w:link w:val="Heading2Char"/>
    <w:uiPriority w:val="1"/>
    <w:qFormat/>
    <w:pPr>
      <w:ind w:left="10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pPr>
      <w:ind w:left="100"/>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9F4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28DF"/>
    <w:pPr>
      <w:widowControl/>
      <w:autoSpaceDE/>
      <w:autoSpaceDN/>
      <w:adjustRightInd/>
      <w:spacing w:before="100" w:beforeAutospacing="1" w:after="100" w:afterAutospacing="1"/>
    </w:pPr>
  </w:style>
  <w:style w:type="paragraph" w:customStyle="1" w:styleId="EndNoteBibliography">
    <w:name w:val="EndNote Bibliography"/>
    <w:basedOn w:val="Normal"/>
    <w:link w:val="EndNoteBibliographyChar"/>
    <w:rsid w:val="00CF51CE"/>
    <w:pPr>
      <w:widowControl/>
      <w:autoSpaceDE/>
      <w:autoSpaceDN/>
      <w:adjustRightInd/>
      <w:spacing w:after="160"/>
    </w:pPr>
    <w:rPr>
      <w:rFonts w:eastAsia="Calibri"/>
      <w:noProof/>
    </w:rPr>
  </w:style>
  <w:style w:type="character" w:customStyle="1" w:styleId="EndNoteBibliographyChar">
    <w:name w:val="EndNote Bibliography Char"/>
    <w:link w:val="EndNoteBibliography"/>
    <w:rsid w:val="00CF51CE"/>
    <w:rPr>
      <w:rFonts w:ascii="Times New Roman" w:eastAsia="Calibri" w:hAnsi="Times New Roman"/>
      <w:noProof/>
      <w:sz w:val="24"/>
      <w:szCs w:val="24"/>
    </w:rPr>
  </w:style>
  <w:style w:type="table" w:customStyle="1" w:styleId="TableGrid2">
    <w:name w:val="Table Grid2"/>
    <w:basedOn w:val="TableNormal"/>
    <w:next w:val="TableGrid"/>
    <w:uiPriority w:val="59"/>
    <w:rsid w:val="00A75AD0"/>
    <w:rPr>
      <w:rFonts w:asciiTheme="minorHAnsi" w:eastAsia="MS Mincho"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6253"/>
    <w:pPr>
      <w:autoSpaceDE w:val="0"/>
      <w:autoSpaceDN w:val="0"/>
      <w:adjustRightInd w:val="0"/>
    </w:pPr>
    <w:rPr>
      <w:rFonts w:ascii="Times New Roman" w:hAnsi="Times New Roman"/>
      <w:color w:val="000000"/>
      <w:sz w:val="24"/>
      <w:szCs w:val="24"/>
    </w:rPr>
  </w:style>
  <w:style w:type="paragraph" w:styleId="Footer">
    <w:name w:val="footer"/>
    <w:basedOn w:val="Normal"/>
    <w:link w:val="FooterChar"/>
    <w:rsid w:val="00BF6253"/>
    <w:pPr>
      <w:widowControl/>
      <w:tabs>
        <w:tab w:val="center" w:pos="4320"/>
        <w:tab w:val="right" w:pos="8640"/>
      </w:tabs>
      <w:autoSpaceDE/>
      <w:autoSpaceDN/>
      <w:adjustRightInd/>
    </w:pPr>
    <w:rPr>
      <w:rFonts w:ascii="Arial" w:hAnsi="Arial"/>
      <w:szCs w:val="20"/>
    </w:rPr>
  </w:style>
  <w:style w:type="character" w:customStyle="1" w:styleId="FooterChar">
    <w:name w:val="Footer Char"/>
    <w:basedOn w:val="DefaultParagraphFont"/>
    <w:link w:val="Footer"/>
    <w:rsid w:val="00BF6253"/>
    <w:rPr>
      <w:rFonts w:ascii="Arial" w:hAnsi="Arial"/>
      <w:sz w:val="24"/>
    </w:rPr>
  </w:style>
  <w:style w:type="paragraph" w:styleId="BalloonText">
    <w:name w:val="Balloon Text"/>
    <w:basedOn w:val="Normal"/>
    <w:link w:val="BalloonTextChar"/>
    <w:uiPriority w:val="99"/>
    <w:semiHidden/>
    <w:unhideWhenUsed/>
    <w:rsid w:val="00AF5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8176">
      <w:bodyDiv w:val="1"/>
      <w:marLeft w:val="0"/>
      <w:marRight w:val="0"/>
      <w:marTop w:val="0"/>
      <w:marBottom w:val="0"/>
      <w:divBdr>
        <w:top w:val="none" w:sz="0" w:space="0" w:color="auto"/>
        <w:left w:val="none" w:sz="0" w:space="0" w:color="auto"/>
        <w:bottom w:val="none" w:sz="0" w:space="0" w:color="auto"/>
        <w:right w:val="none" w:sz="0" w:space="0" w:color="auto"/>
      </w:divBdr>
    </w:div>
    <w:div w:id="736976055">
      <w:bodyDiv w:val="1"/>
      <w:marLeft w:val="0"/>
      <w:marRight w:val="0"/>
      <w:marTop w:val="0"/>
      <w:marBottom w:val="0"/>
      <w:divBdr>
        <w:top w:val="none" w:sz="0" w:space="0" w:color="auto"/>
        <w:left w:val="none" w:sz="0" w:space="0" w:color="auto"/>
        <w:bottom w:val="none" w:sz="0" w:space="0" w:color="auto"/>
        <w:right w:val="none" w:sz="0" w:space="0" w:color="auto"/>
      </w:divBdr>
    </w:div>
    <w:div w:id="1277982101">
      <w:bodyDiv w:val="1"/>
      <w:marLeft w:val="0"/>
      <w:marRight w:val="0"/>
      <w:marTop w:val="0"/>
      <w:marBottom w:val="0"/>
      <w:divBdr>
        <w:top w:val="none" w:sz="0" w:space="0" w:color="auto"/>
        <w:left w:val="none" w:sz="0" w:space="0" w:color="auto"/>
        <w:bottom w:val="none" w:sz="0" w:space="0" w:color="auto"/>
        <w:right w:val="none" w:sz="0" w:space="0" w:color="auto"/>
      </w:divBdr>
    </w:div>
    <w:div w:id="1358384785">
      <w:marLeft w:val="0"/>
      <w:marRight w:val="0"/>
      <w:marTop w:val="0"/>
      <w:marBottom w:val="0"/>
      <w:divBdr>
        <w:top w:val="none" w:sz="0" w:space="0" w:color="auto"/>
        <w:left w:val="none" w:sz="0" w:space="0" w:color="auto"/>
        <w:bottom w:val="none" w:sz="0" w:space="0" w:color="auto"/>
        <w:right w:val="none" w:sz="0" w:space="0" w:color="auto"/>
      </w:divBdr>
    </w:div>
    <w:div w:id="1358384786">
      <w:marLeft w:val="0"/>
      <w:marRight w:val="0"/>
      <w:marTop w:val="0"/>
      <w:marBottom w:val="0"/>
      <w:divBdr>
        <w:top w:val="none" w:sz="0" w:space="0" w:color="auto"/>
        <w:left w:val="none" w:sz="0" w:space="0" w:color="auto"/>
        <w:bottom w:val="none" w:sz="0" w:space="0" w:color="auto"/>
        <w:right w:val="none" w:sz="0" w:space="0" w:color="auto"/>
      </w:divBdr>
    </w:div>
    <w:div w:id="1358384787">
      <w:marLeft w:val="0"/>
      <w:marRight w:val="0"/>
      <w:marTop w:val="0"/>
      <w:marBottom w:val="0"/>
      <w:divBdr>
        <w:top w:val="none" w:sz="0" w:space="0" w:color="auto"/>
        <w:left w:val="none" w:sz="0" w:space="0" w:color="auto"/>
        <w:bottom w:val="none" w:sz="0" w:space="0" w:color="auto"/>
        <w:right w:val="none" w:sz="0" w:space="0" w:color="auto"/>
      </w:divBdr>
    </w:div>
    <w:div w:id="1358384788">
      <w:marLeft w:val="0"/>
      <w:marRight w:val="0"/>
      <w:marTop w:val="0"/>
      <w:marBottom w:val="0"/>
      <w:divBdr>
        <w:top w:val="none" w:sz="0" w:space="0" w:color="auto"/>
        <w:left w:val="none" w:sz="0" w:space="0" w:color="auto"/>
        <w:bottom w:val="none" w:sz="0" w:space="0" w:color="auto"/>
        <w:right w:val="none" w:sz="0" w:space="0" w:color="auto"/>
      </w:divBdr>
    </w:div>
    <w:div w:id="1358384789">
      <w:marLeft w:val="0"/>
      <w:marRight w:val="0"/>
      <w:marTop w:val="0"/>
      <w:marBottom w:val="0"/>
      <w:divBdr>
        <w:top w:val="none" w:sz="0" w:space="0" w:color="auto"/>
        <w:left w:val="none" w:sz="0" w:space="0" w:color="auto"/>
        <w:bottom w:val="none" w:sz="0" w:space="0" w:color="auto"/>
        <w:right w:val="none" w:sz="0" w:space="0" w:color="auto"/>
      </w:divBdr>
    </w:div>
    <w:div w:id="1358384790">
      <w:marLeft w:val="0"/>
      <w:marRight w:val="0"/>
      <w:marTop w:val="0"/>
      <w:marBottom w:val="0"/>
      <w:divBdr>
        <w:top w:val="none" w:sz="0" w:space="0" w:color="auto"/>
        <w:left w:val="none" w:sz="0" w:space="0" w:color="auto"/>
        <w:bottom w:val="none" w:sz="0" w:space="0" w:color="auto"/>
        <w:right w:val="none" w:sz="0" w:space="0" w:color="auto"/>
      </w:divBdr>
    </w:div>
    <w:div w:id="1491748840">
      <w:bodyDiv w:val="1"/>
      <w:marLeft w:val="0"/>
      <w:marRight w:val="0"/>
      <w:marTop w:val="0"/>
      <w:marBottom w:val="0"/>
      <w:divBdr>
        <w:top w:val="none" w:sz="0" w:space="0" w:color="auto"/>
        <w:left w:val="none" w:sz="0" w:space="0" w:color="auto"/>
        <w:bottom w:val="none" w:sz="0" w:space="0" w:color="auto"/>
        <w:right w:val="none" w:sz="0" w:space="0" w:color="auto"/>
      </w:divBdr>
    </w:div>
    <w:div w:id="1830249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EC73-72EC-43ED-A7A6-6A8E1C9C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Outputs</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Outputs</dc:title>
  <dc:subject/>
  <dc:creator>Jennifer Wood</dc:creator>
  <cp:keywords/>
  <dc:description/>
  <cp:lastModifiedBy>Julio O. Giordano</cp:lastModifiedBy>
  <cp:revision>8</cp:revision>
  <cp:lastPrinted>2017-05-11T13:38:00Z</cp:lastPrinted>
  <dcterms:created xsi:type="dcterms:W3CDTF">2022-05-26T16:23:00Z</dcterms:created>
  <dcterms:modified xsi:type="dcterms:W3CDTF">2023-05-07T10:10:00Z</dcterms:modified>
</cp:coreProperties>
</file>