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201</w:t>
      </w:r>
      <w:r>
        <w:rPr>
          <w:b w:val="1"/>
          <w:bCs w:val="1"/>
          <w:rtl w:val="0"/>
          <w:lang w:val="en-US"/>
        </w:rPr>
        <w:t>6</w:t>
      </w:r>
      <w:r>
        <w:rPr>
          <w:b w:val="1"/>
          <w:bCs w:val="1"/>
          <w:rtl w:val="0"/>
        </w:rPr>
        <w:t xml:space="preserve"> WERA-103 Committee Meeting Agenda</w:t>
      </w:r>
    </w:p>
    <w:p>
      <w:pPr>
        <w:pStyle w:val="Body A"/>
        <w:jc w:val="center"/>
        <w:rPr>
          <w:b w:val="1"/>
          <w:bCs w:val="1"/>
          <w:color w:val="ff2600"/>
        </w:rPr>
      </w:pPr>
      <w:r>
        <w:rPr>
          <w:b w:val="1"/>
          <w:bCs w:val="1"/>
          <w:color w:val="ff2600"/>
          <w:rtl w:val="0"/>
          <w:lang w:val="en-US"/>
        </w:rPr>
        <w:t>DRAFT</w:t>
      </w:r>
    </w:p>
    <w:p>
      <w:pPr>
        <w:pStyle w:val="Body A"/>
        <w:spacing w:line="24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USDA/ARS Agriculture Systems Unit</w:t>
      </w:r>
    </w:p>
    <w:p>
      <w:pPr>
        <w:pStyle w:val="Body A"/>
        <w:spacing w:line="24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2150 Centre Avenue</w:t>
      </w:r>
    </w:p>
    <w:p>
      <w:pPr>
        <w:pStyle w:val="Body A"/>
        <w:spacing w:line="24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Fort Collins, CO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April</w:t>
      </w:r>
      <w:r>
        <w:rPr>
          <w:b w:val="1"/>
          <w:bCs w:val="1"/>
          <w:rtl w:val="0"/>
          <w:lang w:val="de-DE"/>
        </w:rPr>
        <w:t xml:space="preserve"> </w:t>
      </w:r>
      <w:r>
        <w:rPr>
          <w:b w:val="1"/>
          <w:bCs w:val="1"/>
          <w:rtl w:val="0"/>
          <w:lang w:val="en-US"/>
        </w:rPr>
        <w:t>11</w:t>
      </w:r>
      <w:r>
        <w:rPr>
          <w:b w:val="1"/>
          <w:bCs w:val="1"/>
          <w:rtl w:val="0"/>
          <w:lang w:val="de-DE"/>
        </w:rPr>
        <w:t>, 201</w:t>
      </w:r>
      <w:r>
        <w:rPr>
          <w:b w:val="1"/>
          <w:bCs w:val="1"/>
          <w:rtl w:val="0"/>
          <w:lang w:val="en-US"/>
        </w:rPr>
        <w:t>6</w:t>
      </w:r>
      <w:r>
        <w:rPr>
          <w:b w:val="1"/>
          <w:bCs w:val="1"/>
          <w:rtl w:val="0"/>
          <w:lang w:val="de-DE"/>
        </w:rPr>
        <w:t xml:space="preserve">, </w:t>
      </w:r>
      <w:r>
        <w:rPr>
          <w:b w:val="1"/>
          <w:bCs w:val="1"/>
          <w:rtl w:val="0"/>
          <w:lang w:val="en-US"/>
        </w:rPr>
        <w:t xml:space="preserve">12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>5 pm</w:t>
      </w:r>
    </w:p>
    <w:p>
      <w:pPr>
        <w:pStyle w:val="Body A"/>
        <w:rPr>
          <w:b w:val="1"/>
          <w:bCs w:val="1"/>
        </w:rPr>
      </w:pPr>
      <w:r>
        <w:rPr>
          <w:rtl w:val="0"/>
          <w:lang w:val="en-US"/>
        </w:rPr>
        <w:t>12:00 - 1:00</w:t>
      </w:r>
      <w:r>
        <w:rPr>
          <w:lang w:val="en-US"/>
        </w:rPr>
        <w:tab/>
      </w:r>
      <w:r>
        <w:rPr>
          <w:rtl w:val="0"/>
          <w:lang w:val="en-US"/>
        </w:rPr>
        <w:t>Lunch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>1:00 - 1:30</w:t>
      </w:r>
      <w:r>
        <w:rPr>
          <w:rtl w:val="0"/>
          <w:lang w:val="en-US"/>
        </w:rPr>
        <w:tab/>
        <w:t>Opening remarks and introductions; officer succession (</w:t>
      </w:r>
      <w:r>
        <w:rPr>
          <w:rtl w:val="0"/>
          <w:lang w:val="en-US"/>
        </w:rPr>
        <w:t>Joan Davenport</w:t>
      </w:r>
      <w:r>
        <w:rPr>
          <w:rtl w:val="0"/>
          <w:lang w:val="en-US"/>
        </w:rPr>
        <w:t>, Chair)</w:t>
      </w:r>
    </w:p>
    <w:p>
      <w:pPr>
        <w:pStyle w:val="Body A"/>
        <w:spacing w:line="276" w:lineRule="auto"/>
        <w:ind w:left="1440" w:hanging="1440"/>
      </w:pPr>
      <w:r>
        <w:rPr>
          <w:lang w:val="en-US"/>
        </w:rPr>
        <w:tab/>
        <w:tab/>
      </w:r>
      <w:r>
        <w:rPr>
          <w:rtl w:val="0"/>
          <w:lang w:val="en-US"/>
        </w:rPr>
        <w:t>Action item: 201</w:t>
      </w:r>
      <w:r>
        <w:rPr>
          <w:rtl w:val="0"/>
          <w:lang w:val="en-US"/>
        </w:rPr>
        <w:t>6</w:t>
      </w:r>
      <w:r>
        <w:rPr>
          <w:rtl w:val="0"/>
          <w:lang w:val="en-US"/>
        </w:rPr>
        <w:t>-1</w:t>
      </w:r>
      <w:r>
        <w:rPr>
          <w:rtl w:val="0"/>
          <w:lang w:val="en-US"/>
        </w:rPr>
        <w:t>7</w:t>
      </w:r>
      <w:r>
        <w:rPr>
          <w:rtl w:val="0"/>
          <w:lang w:val="en-US"/>
        </w:rPr>
        <w:t xml:space="preserve"> Executive Committee</w:t>
      </w:r>
    </w:p>
    <w:p>
      <w:pPr>
        <w:pStyle w:val="Body A"/>
        <w:spacing w:line="276" w:lineRule="auto"/>
        <w:ind w:left="1440" w:hanging="1440"/>
        <w:rPr>
          <w:lang w:val="en-US"/>
        </w:rPr>
      </w:pPr>
      <w:r>
        <w:rPr>
          <w:rtl w:val="0"/>
          <w:lang w:val="en-US"/>
        </w:rPr>
        <w:tab/>
        <w:t>Jim Walworth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- Chair</w:t>
      </w:r>
    </w:p>
    <w:p>
      <w:pPr>
        <w:pStyle w:val="Body A"/>
        <w:spacing w:line="276" w:lineRule="auto"/>
        <w:ind w:left="1440" w:hanging="1440"/>
      </w:pPr>
      <w:r>
        <w:rPr>
          <w:rtl w:val="0"/>
          <w:lang w:val="en-US"/>
        </w:rPr>
        <w:tab/>
        <w:t>Troy Bauder - Vice Chair</w:t>
      </w:r>
      <w:r>
        <w:rPr>
          <w:rtl w:val="0"/>
          <w:lang w:val="en-US"/>
        </w:rPr>
        <w:tab/>
        <w:t xml:space="preserve"> </w:t>
      </w:r>
    </w:p>
    <w:p>
      <w:pPr>
        <w:pStyle w:val="Body A"/>
        <w:spacing w:line="276" w:lineRule="auto"/>
        <w:ind w:left="720" w:firstLine="720"/>
      </w:pPr>
      <w:r>
        <w:rPr>
          <w:rtl w:val="0"/>
          <w:lang w:val="nl-NL"/>
        </w:rPr>
        <w:t>Nominate/elect secretary for 201</w:t>
      </w:r>
      <w:r>
        <w:rPr>
          <w:rtl w:val="0"/>
          <w:lang w:val="en-US"/>
        </w:rPr>
        <w:t>6</w:t>
      </w:r>
      <w:r>
        <w:rPr>
          <w:rtl w:val="0"/>
          <w:lang w:val="nl-NL"/>
        </w:rPr>
        <w:t>-1</w:t>
      </w:r>
      <w:r>
        <w:rPr>
          <w:rtl w:val="0"/>
          <w:lang w:val="en-US"/>
        </w:rPr>
        <w:t>7</w:t>
      </w:r>
      <w:r>
        <w:rPr>
          <w:rtl w:val="0"/>
          <w:lang w:val="nl-NL"/>
        </w:rPr>
        <w:t xml:space="preserve"> (begins at the close of this </w:t>
        <w:tab/>
        <w:tab/>
      </w:r>
      <w:r>
        <w:rPr>
          <w:rtl w:val="0"/>
          <w:lang w:val="en-US"/>
        </w:rPr>
        <w:tab/>
        <w:t>April</w:t>
      </w:r>
      <w:r>
        <w:rPr>
          <w:rtl w:val="0"/>
          <w:lang w:val="nl-NL"/>
        </w:rPr>
        <w:t xml:space="preserve"> 201</w:t>
      </w:r>
      <w:r>
        <w:rPr>
          <w:rtl w:val="0"/>
          <w:lang w:val="en-US"/>
        </w:rPr>
        <w:t>6</w:t>
      </w:r>
      <w:r>
        <w:rPr>
          <w:rtl w:val="0"/>
          <w:lang w:val="nl-NL"/>
        </w:rPr>
        <w:t xml:space="preserve"> meeting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nl-NL"/>
        </w:rPr>
        <w:br w:type="textWrapping"/>
      </w:r>
    </w:p>
    <w:p>
      <w:pPr>
        <w:pStyle w:val="Body A"/>
      </w:pPr>
      <w:r>
        <w:rPr>
          <w:rtl w:val="0"/>
          <w:lang w:val="en-US"/>
        </w:rPr>
        <w:t xml:space="preserve">1:30 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 xml:space="preserve"> 2</w:t>
      </w:r>
      <w:r>
        <w:rPr>
          <w:rtl w:val="0"/>
          <w:lang w:val="en-US"/>
        </w:rPr>
        <w:t>:00</w:t>
        <w:tab/>
        <w:t>Report from WERA-103 Advisor; Question and Answer (Rich Koenig)</w:t>
      </w:r>
    </w:p>
    <w:p>
      <w:pPr>
        <w:pStyle w:val="Body A"/>
      </w:pPr>
      <w:r>
        <w:rPr>
          <w:rtl w:val="0"/>
          <w:lang w:val="en-US"/>
        </w:rPr>
        <w:t>2:00 - 3:00</w:t>
      </w:r>
      <w:r>
        <w:rPr>
          <w:rtl w:val="0"/>
          <w:lang w:val="en-US"/>
        </w:rPr>
        <w:tab/>
        <w:t>WERA 103 Member Reports (</w:t>
      </w:r>
      <w:r>
        <w:rPr>
          <w:rtl w:val="0"/>
          <w:lang w:val="en-US"/>
        </w:rPr>
        <w:t>G</w:t>
      </w:r>
      <w:r>
        <w:rPr>
          <w:rtl w:val="0"/>
          <w:lang w:val="en-US"/>
        </w:rPr>
        <w:t xml:space="preserve">roup)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keep them brief (~10 minutes each). </w:t>
      </w:r>
      <w:r>
        <w:rPr>
          <w:lang w:val="en-US"/>
        </w:rPr>
        <w:tab/>
        <w:tab/>
        <w:tab/>
      </w:r>
      <w:r>
        <w:rPr>
          <w:rtl w:val="0"/>
          <w:lang w:val="en-US"/>
        </w:rPr>
        <w:t>Provide a powerpoint slide if you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 like to. Highlight multi-state activities</w:t>
      </w:r>
    </w:p>
    <w:p>
      <w:pPr>
        <w:pStyle w:val="Body A"/>
      </w:pPr>
      <w:r>
        <w:rPr>
          <w:rtl w:val="0"/>
          <w:lang w:val="en-US"/>
        </w:rPr>
        <w:t>3</w:t>
      </w:r>
      <w:r>
        <w:rPr>
          <w:rtl w:val="0"/>
        </w:rPr>
        <w:t>:</w:t>
      </w:r>
      <w:r>
        <w:rPr>
          <w:rtl w:val="0"/>
          <w:lang w:val="en-US"/>
        </w:rPr>
        <w:t xml:space="preserve">00 </w:t>
      </w:r>
      <w:r>
        <w:rPr>
          <w:rtl w:val="0"/>
        </w:rPr>
        <w:t>-</w:t>
      </w:r>
      <w:r>
        <w:rPr>
          <w:rtl w:val="0"/>
          <w:lang w:val="en-US"/>
        </w:rPr>
        <w:t xml:space="preserve"> 3</w:t>
      </w:r>
      <w:r>
        <w:rPr>
          <w:rtl w:val="0"/>
        </w:rPr>
        <w:t>:</w:t>
      </w:r>
      <w:r>
        <w:rPr>
          <w:rtl w:val="0"/>
          <w:lang w:val="en-US"/>
        </w:rPr>
        <w:t>15</w:t>
      </w:r>
      <w:r>
        <w:rPr>
          <w:rtl w:val="0"/>
        </w:rPr>
        <w:tab/>
        <w:t>Break</w:t>
      </w:r>
    </w:p>
    <w:p>
      <w:pPr>
        <w:pStyle w:val="Body A"/>
        <w:ind w:left="1440" w:hanging="1440"/>
        <w:rPr>
          <w:lang w:val="en-US"/>
        </w:rPr>
      </w:pPr>
      <w:r>
        <w:rPr>
          <w:rtl w:val="0"/>
          <w:lang w:val="en-US"/>
        </w:rPr>
        <w:t>3</w:t>
      </w:r>
      <w:r>
        <w:rPr>
          <w:rtl w:val="0"/>
          <w:lang w:val="en-US"/>
        </w:rPr>
        <w:t>:</w:t>
      </w:r>
      <w:r>
        <w:rPr>
          <w:rtl w:val="0"/>
          <w:lang w:val="en-US"/>
        </w:rPr>
        <w:t xml:space="preserve">15 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 xml:space="preserve"> 4</w:t>
      </w:r>
      <w:r>
        <w:rPr>
          <w:rtl w:val="0"/>
          <w:lang w:val="en-US"/>
        </w:rPr>
        <w:t>:</w:t>
      </w:r>
      <w:r>
        <w:rPr>
          <w:rtl w:val="0"/>
          <w:lang w:val="en-US"/>
        </w:rPr>
        <w:t>30</w:t>
      </w:r>
      <w:r>
        <w:rPr>
          <w:lang w:val="en-US"/>
        </w:rPr>
        <w:tab/>
      </w:r>
      <w:r>
        <w:rPr>
          <w:rtl w:val="0"/>
          <w:lang w:val="en-US"/>
        </w:rPr>
        <w:t>WERA 103 Member Reports (</w:t>
      </w:r>
      <w:r>
        <w:rPr>
          <w:rtl w:val="0"/>
          <w:lang w:val="en-US"/>
        </w:rPr>
        <w:t>Group, continued</w:t>
      </w:r>
      <w:r>
        <w:rPr>
          <w:rtl w:val="0"/>
          <w:lang w:val="en-US"/>
        </w:rPr>
        <w:t>)</w:t>
      </w:r>
      <w:r>
        <w:rPr>
          <w:rtl w:val="0"/>
          <w:lang w:val="en-US"/>
        </w:rPr>
        <w:t>.</w:t>
      </w:r>
    </w:p>
    <w:p>
      <w:pPr>
        <w:pStyle w:val="Body A"/>
        <w:ind w:left="1440" w:hanging="1440"/>
      </w:pPr>
      <w:r>
        <w:rPr>
          <w:rtl w:val="0"/>
          <w:lang w:val="en-US"/>
        </w:rPr>
        <w:t>4:30 - 5:00</w:t>
        <w:tab/>
      </w:r>
      <w:r>
        <w:rPr>
          <w:rtl w:val="0"/>
          <w:lang w:val="en-US"/>
        </w:rPr>
        <w:t>CSA news ; WERA-103 Contribution Report</w:t>
      </w:r>
      <w:r>
        <w:rPr>
          <w:rtl w:val="0"/>
          <w:lang w:val="en-US"/>
        </w:rPr>
        <w:t xml:space="preserve"> (Galen Mooso)</w:t>
      </w:r>
    </w:p>
    <w:p>
      <w:pPr>
        <w:pStyle w:val="Body A"/>
      </w:pPr>
      <w:r>
        <w:rPr>
          <w:rtl w:val="0"/>
          <w:lang w:val="en-US"/>
        </w:rPr>
        <w:t>CSA NEWS  Audience: 15,000 certified professionals. Article length: 800 words or less; Images: .jpg or .tif format, high resolution (at least 300 dpi); size = at least 3.5" wide. Images can not be in Word and no copies from a web site. Deadlines:  it is a quarterly, printing in March, June, September and December, the copy is due to ASA on the 15th of the prior month so deadlines for copy are Feb 15; May 15; Aug 15; Nov 15.</w:t>
      </w:r>
    </w:p>
    <w:p>
      <w:pPr>
        <w:pStyle w:val="List Paragraph"/>
        <w:numPr>
          <w:ilvl w:val="0"/>
          <w:numId w:val="2"/>
        </w:numPr>
        <w:rPr>
          <w:position w:val="0"/>
          <w:lang w:val="en-US"/>
        </w:rPr>
      </w:pPr>
      <w:r>
        <w:rPr>
          <w:rtl w:val="0"/>
          <w:lang w:val="en-US"/>
        </w:rPr>
        <w:t>Review 201</w:t>
      </w:r>
      <w:r>
        <w:rPr>
          <w:rtl w:val="0"/>
          <w:lang w:val="en-US"/>
        </w:rPr>
        <w:t>5/2016</w:t>
      </w:r>
      <w:r>
        <w:rPr>
          <w:rtl w:val="0"/>
          <w:lang w:val="en-US"/>
        </w:rPr>
        <w:t xml:space="preserve"> CSA news contributions.</w:t>
      </w:r>
    </w:p>
    <w:p>
      <w:pPr>
        <w:pStyle w:val="List Paragraph"/>
        <w:numPr>
          <w:ilvl w:val="0"/>
          <w:numId w:val="4"/>
        </w:numPr>
        <w:rPr>
          <w:position w:val="0"/>
          <w:lang w:val="en-US"/>
        </w:rPr>
      </w:pPr>
      <w:r>
        <w:rPr>
          <w:b w:val="1"/>
          <w:bCs w:val="1"/>
          <w:rtl w:val="0"/>
          <w:lang w:val="en-US"/>
        </w:rPr>
        <w:t xml:space="preserve">Action item: </w:t>
      </w:r>
      <w:r>
        <w:rPr>
          <w:rtl w:val="0"/>
          <w:lang w:val="en-US"/>
        </w:rPr>
        <w:t>201</w:t>
      </w:r>
      <w:r>
        <w:rPr>
          <w:rtl w:val="0"/>
          <w:lang w:val="en-US"/>
        </w:rPr>
        <w:t>6/2017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commitments from WERA members.  </w:t>
      </w:r>
    </w:p>
    <w:p>
      <w:pPr>
        <w:pStyle w:val="Body A"/>
      </w:pPr>
      <w:r>
        <w:rPr>
          <w:position w:val="0"/>
        </w:rPr>
        <w:br w:type="page"/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April</w:t>
      </w:r>
      <w:r>
        <w:rPr>
          <w:b w:val="1"/>
          <w:bCs w:val="1"/>
          <w:rtl w:val="0"/>
          <w:lang w:val="de-DE"/>
        </w:rPr>
        <w:t xml:space="preserve"> </w:t>
      </w:r>
      <w:r>
        <w:rPr>
          <w:b w:val="1"/>
          <w:bCs w:val="1"/>
          <w:rtl w:val="0"/>
          <w:lang w:val="en-US"/>
        </w:rPr>
        <w:t>12</w:t>
      </w:r>
      <w:r>
        <w:rPr>
          <w:b w:val="1"/>
          <w:bCs w:val="1"/>
          <w:rtl w:val="0"/>
          <w:lang w:val="de-DE"/>
        </w:rPr>
        <w:t>, 201</w:t>
      </w:r>
      <w:r>
        <w:rPr>
          <w:b w:val="1"/>
          <w:bCs w:val="1"/>
          <w:rtl w:val="0"/>
          <w:lang w:val="en-US"/>
        </w:rPr>
        <w:t>6</w:t>
      </w:r>
      <w:r>
        <w:rPr>
          <w:b w:val="1"/>
          <w:bCs w:val="1"/>
          <w:rtl w:val="0"/>
          <w:lang w:val="de-DE"/>
        </w:rPr>
        <w:t xml:space="preserve">, </w:t>
      </w:r>
      <w:r>
        <w:rPr>
          <w:b w:val="1"/>
          <w:bCs w:val="1"/>
          <w:rtl w:val="0"/>
          <w:lang w:val="en-US"/>
        </w:rPr>
        <w:t xml:space="preserve">8 am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 xml:space="preserve">5 pm </w:t>
      </w:r>
    </w:p>
    <w:p>
      <w:pPr>
        <w:pStyle w:val="Body"/>
        <w:spacing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 xml:space="preserve">8:00-8:30     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Breakfast/Beverages</w:t>
      </w:r>
    </w:p>
    <w:p>
      <w:pPr>
        <w:pStyle w:val="Body"/>
        <w:spacing w:after="200" w:line="276" w:lineRule="auto"/>
        <w:ind w:left="1152" w:hanging="1152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8:30-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10</w:t>
      </w:r>
      <w:r>
        <w:rPr>
          <w:rFonts w:ascii="Calibri" w:cs="Calibri" w:hAnsi="Calibri" w:eastAsia="Calibri"/>
          <w:sz w:val="22"/>
          <w:szCs w:val="22"/>
          <w:rtl w:val="0"/>
        </w:rPr>
        <w:t>: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30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 </w:t>
        <w:tab/>
        <w:t>Planning for 201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7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 Western Nutrient Management Conference</w:t>
      </w:r>
    </w:p>
    <w:p>
      <w:pPr>
        <w:pStyle w:val="List Paragraph"/>
        <w:numPr>
          <w:ilvl w:val="1"/>
          <w:numId w:val="6"/>
        </w:numPr>
        <w:spacing w:line="276" w:lineRule="auto"/>
        <w:rPr>
          <w:lang w:val="en-US"/>
        </w:rPr>
      </w:pPr>
      <w:r>
        <w:rPr>
          <w:rtl w:val="0"/>
          <w:lang w:val="en-US"/>
        </w:rPr>
        <w:t>Select chair for 201</w:t>
      </w:r>
      <w:r>
        <w:rPr>
          <w:rtl w:val="0"/>
          <w:lang w:val="en-US"/>
        </w:rPr>
        <w:t>7</w:t>
      </w:r>
      <w:r>
        <w:rPr>
          <w:rtl w:val="0"/>
          <w:lang w:val="en-US"/>
        </w:rPr>
        <w:t xml:space="preserve"> Meeting</w:t>
      </w:r>
    </w:p>
    <w:p>
      <w:pPr>
        <w:pStyle w:val="List Paragraph"/>
        <w:numPr>
          <w:ilvl w:val="1"/>
          <w:numId w:val="6"/>
        </w:numPr>
        <w:spacing w:line="276" w:lineRule="auto"/>
        <w:rPr>
          <w:lang w:val="en-US"/>
        </w:rPr>
      </w:pPr>
      <w:r>
        <w:rPr>
          <w:rtl w:val="0"/>
          <w:lang w:val="en-US"/>
        </w:rPr>
        <w:t>Review of 201</w:t>
      </w:r>
      <w:r>
        <w:rPr>
          <w:rtl w:val="0"/>
          <w:lang w:val="en-US"/>
        </w:rPr>
        <w:t>5</w:t>
      </w:r>
      <w:r>
        <w:rPr>
          <w:rtl w:val="0"/>
          <w:lang w:val="en-US"/>
        </w:rPr>
        <w:t xml:space="preserve"> Meeting</w:t>
      </w:r>
    </w:p>
    <w:p>
      <w:pPr>
        <w:pStyle w:val="List Paragraph"/>
        <w:numPr>
          <w:ilvl w:val="1"/>
          <w:numId w:val="6"/>
        </w:numPr>
        <w:spacing w:line="276" w:lineRule="auto"/>
        <w:rPr>
          <w:lang w:val="en-US"/>
        </w:rPr>
      </w:pPr>
      <w:r>
        <w:rPr>
          <w:rtl w:val="0"/>
          <w:lang w:val="en-US"/>
        </w:rPr>
        <w:t>Location</w:t>
      </w:r>
    </w:p>
    <w:p>
      <w:pPr>
        <w:pStyle w:val="List Paragraph"/>
        <w:numPr>
          <w:ilvl w:val="1"/>
          <w:numId w:val="6"/>
        </w:numPr>
        <w:spacing w:line="276" w:lineRule="auto"/>
        <w:rPr>
          <w:lang w:val="en-US"/>
        </w:rPr>
      </w:pPr>
      <w:r>
        <w:rPr>
          <w:rtl w:val="0"/>
          <w:lang w:val="en-US"/>
        </w:rPr>
        <w:t>Symposia</w:t>
      </w:r>
    </w:p>
    <w:p>
      <w:pPr>
        <w:pStyle w:val="List Paragraph"/>
        <w:numPr>
          <w:ilvl w:val="1"/>
          <w:numId w:val="6"/>
        </w:numPr>
        <w:spacing w:line="276" w:lineRule="auto"/>
        <w:rPr>
          <w:lang w:val="en-US"/>
        </w:rPr>
      </w:pPr>
      <w:r>
        <w:rPr>
          <w:rtl w:val="0"/>
          <w:lang w:val="en-US"/>
        </w:rPr>
        <w:t>Speakers</w:t>
      </w:r>
    </w:p>
    <w:p>
      <w:pPr>
        <w:pStyle w:val="List Paragraph"/>
        <w:numPr>
          <w:ilvl w:val="1"/>
          <w:numId w:val="6"/>
        </w:numPr>
        <w:spacing w:line="276" w:lineRule="auto"/>
        <w:rPr>
          <w:lang w:val="en-US"/>
        </w:rPr>
      </w:pPr>
      <w:r>
        <w:rPr>
          <w:rtl w:val="0"/>
          <w:lang w:val="en-US"/>
        </w:rPr>
        <w:t>Posters</w:t>
      </w:r>
    </w:p>
    <w:p>
      <w:pPr>
        <w:pStyle w:val="Body"/>
        <w:spacing w:after="200" w:line="276" w:lineRule="auto"/>
        <w:ind w:left="1152" w:hanging="1152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10:30 - 10:45</w:t>
        <w:tab/>
        <w:t>Break</w:t>
      </w:r>
    </w:p>
    <w:p>
      <w:pPr>
        <w:pStyle w:val="Body"/>
        <w:spacing w:after="200" w:line="276" w:lineRule="auto"/>
        <w:ind w:left="1152" w:hanging="1152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10:45 - 11:30 </w:t>
        <w:tab/>
        <w:t>Complete Planning for 2017 Western Nutrient Management Conference</w:t>
      </w:r>
    </w:p>
    <w:p>
      <w:pPr>
        <w:pStyle w:val="Body"/>
        <w:spacing w:after="200" w:line="276" w:lineRule="auto"/>
        <w:ind w:left="1152" w:hanging="1152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11:30 - 12:30 Other Agenda Items</w:t>
      </w:r>
    </w:p>
    <w:p>
      <w:pPr>
        <w:pStyle w:val="Body"/>
        <w:numPr>
          <w:ilvl w:val="2"/>
          <w:numId w:val="8"/>
        </w:numPr>
        <w:spacing w:after="200" w:line="276" w:lineRule="auto"/>
        <w:rPr>
          <w:rFonts w:ascii="Calibri" w:cs="Calibri" w:hAnsi="Calibri" w:eastAsia="Calibri"/>
          <w:sz w:val="22"/>
          <w:szCs w:val="22"/>
          <w:lang w:val="en-US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Methods Manual - status of updates and how to acquire</w:t>
      </w:r>
    </w:p>
    <w:p>
      <w:pPr>
        <w:pStyle w:val="No Spacing"/>
      </w:pPr>
      <w:r>
        <w:rPr>
          <w:rtl w:val="0"/>
          <w:lang w:val="en-US"/>
        </w:rPr>
        <w:t>12:</w:t>
      </w:r>
      <w:r>
        <w:rPr>
          <w:rtl w:val="0"/>
          <w:lang w:val="en-US"/>
        </w:rPr>
        <w:t>30</w:t>
      </w:r>
      <w:r>
        <w:rPr>
          <w:rtl w:val="0"/>
          <w:lang w:val="en-US"/>
        </w:rPr>
        <w:t xml:space="preserve"> – </w:t>
      </w:r>
      <w:r>
        <w:rPr>
          <w:rtl w:val="0"/>
          <w:lang w:val="en-US"/>
        </w:rPr>
        <w:t>1:</w:t>
      </w:r>
      <w:r>
        <w:rPr>
          <w:rtl w:val="0"/>
          <w:lang w:val="en-US"/>
        </w:rPr>
        <w:t>30</w:t>
      </w:r>
      <w:r>
        <w:rPr>
          <w:rtl w:val="0"/>
          <w:lang w:val="en-US"/>
        </w:rPr>
        <w:t xml:space="preserve"> Lunch</w:t>
      </w:r>
    </w:p>
    <w:p>
      <w:pPr>
        <w:pStyle w:val="No Spacing"/>
      </w:pPr>
    </w:p>
    <w:p>
      <w:pPr>
        <w:pStyle w:val="Body A"/>
        <w:ind w:left="1440" w:hanging="1440"/>
      </w:pPr>
      <w:r>
        <w:rPr>
          <w:rtl w:val="0"/>
          <w:lang w:val="en-US"/>
        </w:rPr>
        <w:t>1:</w:t>
      </w:r>
      <w:r>
        <w:rPr>
          <w:rtl w:val="0"/>
          <w:lang w:val="en-US"/>
        </w:rPr>
        <w:t>30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>3</w:t>
      </w:r>
      <w:r>
        <w:rPr>
          <w:rtl w:val="0"/>
          <w:lang w:val="en-US"/>
        </w:rPr>
        <w:t>:</w:t>
      </w:r>
      <w:r>
        <w:rPr>
          <w:rtl w:val="0"/>
          <w:lang w:val="en-US"/>
        </w:rPr>
        <w:t>0</w:t>
      </w:r>
      <w:r>
        <w:rPr>
          <w:rtl w:val="0"/>
          <w:lang w:val="en-US"/>
        </w:rPr>
        <w:t>0</w:t>
        <w:tab/>
        <w:t xml:space="preserve">Breakout Session to review past tasks and identify specific tasks / projects that address WERA-103 Project Objectives / Procedures. </w:t>
      </w:r>
    </w:p>
    <w:p>
      <w:pPr>
        <w:pStyle w:val="List Paragraph"/>
        <w:numPr>
          <w:ilvl w:val="0"/>
          <w:numId w:val="10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Verdana" w:cs="Verdana" w:hAnsi="Verdana" w:eastAsia="Verdana"/>
          <w:color w:val="000000"/>
          <w:position w:val="0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color w:val="000000"/>
          <w:sz w:val="18"/>
          <w:szCs w:val="18"/>
          <w:u w:color="000000"/>
          <w:rtl w:val="0"/>
          <w:lang w:val="en-US"/>
        </w:rPr>
        <w:t xml:space="preserve">Develop and/or improve nutrient recommendations for diverse cropping systems based on soil, water and plant analysis results and management strategies in the Western Region. </w:t>
      </w:r>
    </w:p>
    <w:p>
      <w:pPr>
        <w:pStyle w:val="List Paragraph"/>
        <w:numPr>
          <w:ilvl w:val="1"/>
          <w:numId w:val="12"/>
        </w:numPr>
        <w:shd w:val="clear" w:color="auto" w:fill="ffffff"/>
        <w:bidi w:val="0"/>
        <w:ind w:right="0"/>
        <w:jc w:val="left"/>
        <w:rPr>
          <w:rFonts w:ascii="Verdana" w:cs="Verdana" w:hAnsi="Verdana" w:eastAsia="Verdana"/>
          <w:color w:val="000000"/>
          <w:position w:val="0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color w:val="000000"/>
          <w:sz w:val="18"/>
          <w:szCs w:val="18"/>
          <w:u w:color="000000"/>
          <w:rtl w:val="0"/>
          <w:lang w:val="en-US"/>
        </w:rPr>
        <w:t xml:space="preserve">Procedures for Objective 1: </w:t>
      </w:r>
    </w:p>
    <w:p>
      <w:pPr>
        <w:pStyle w:val="List Paragraph"/>
        <w:numPr>
          <w:ilvl w:val="2"/>
          <w:numId w:val="14"/>
        </w:numPr>
        <w:shd w:val="clear" w:color="auto" w:fill="ffffff"/>
        <w:bidi w:val="0"/>
        <w:ind w:right="0"/>
        <w:jc w:val="left"/>
        <w:rPr>
          <w:rFonts w:ascii="Verdana" w:cs="Verdana" w:hAnsi="Verdana" w:eastAsia="Verdana"/>
          <w:color w:val="000000"/>
          <w:position w:val="0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color w:val="000000"/>
          <w:sz w:val="18"/>
          <w:szCs w:val="18"/>
          <w:u w:color="000000"/>
          <w:rtl w:val="0"/>
          <w:lang w:val="en-US"/>
        </w:rPr>
        <w:t xml:space="preserve">Provide nutrient correlation and calibration data for crops in the region. </w:t>
      </w:r>
    </w:p>
    <w:p>
      <w:pPr>
        <w:pStyle w:val="List Paragraph"/>
        <w:numPr>
          <w:ilvl w:val="2"/>
          <w:numId w:val="14"/>
        </w:numPr>
        <w:shd w:val="clear" w:color="auto" w:fill="ffffff"/>
        <w:bidi w:val="0"/>
        <w:ind w:right="0"/>
        <w:jc w:val="left"/>
        <w:rPr>
          <w:rFonts w:ascii="Verdana" w:cs="Verdana" w:hAnsi="Verdana" w:eastAsia="Verdana"/>
          <w:color w:val="000000"/>
          <w:position w:val="0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color w:val="000000"/>
          <w:sz w:val="18"/>
          <w:szCs w:val="18"/>
          <w:u w:color="000000"/>
          <w:rtl w:val="0"/>
          <w:lang w:val="en-US"/>
        </w:rPr>
        <w:t xml:space="preserve">Work toward uniformity of nutrient use recommendations for similar crop production systems in the region. </w:t>
      </w:r>
    </w:p>
    <w:p>
      <w:pPr>
        <w:pStyle w:val="List Paragraph"/>
        <w:numPr>
          <w:ilvl w:val="2"/>
          <w:numId w:val="14"/>
        </w:numPr>
        <w:shd w:val="clear" w:color="auto" w:fill="ffffff"/>
        <w:bidi w:val="0"/>
        <w:ind w:right="0"/>
        <w:jc w:val="left"/>
        <w:rPr>
          <w:rFonts w:ascii="Verdana" w:cs="Verdana" w:hAnsi="Verdana" w:eastAsia="Verdana"/>
          <w:color w:val="000000"/>
          <w:position w:val="0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color w:val="000000"/>
          <w:sz w:val="18"/>
          <w:szCs w:val="18"/>
          <w:u w:color="000000"/>
          <w:rtl w:val="0"/>
          <w:lang w:val="en-US"/>
        </w:rPr>
        <w:t xml:space="preserve">Evaluate and apply new nutrient analytical and interpretive methodologies. </w:t>
      </w:r>
    </w:p>
    <w:p>
      <w:pPr>
        <w:pStyle w:val="List Paragraph"/>
        <w:numPr>
          <w:ilvl w:val="2"/>
          <w:numId w:val="14"/>
        </w:numPr>
        <w:shd w:val="clear" w:color="auto" w:fill="ffffff"/>
        <w:bidi w:val="0"/>
        <w:ind w:right="0"/>
        <w:jc w:val="left"/>
        <w:rPr>
          <w:rFonts w:ascii="Verdana" w:cs="Verdana" w:hAnsi="Verdana" w:eastAsia="Verdana"/>
          <w:color w:val="000000"/>
          <w:position w:val="0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color w:val="000000"/>
          <w:sz w:val="18"/>
          <w:szCs w:val="18"/>
          <w:u w:color="000000"/>
          <w:rtl w:val="0"/>
          <w:lang w:val="en-US"/>
        </w:rPr>
        <w:t xml:space="preserve">Evaluate the efficacy of new fertilizers and formulations. </w:t>
      </w:r>
    </w:p>
    <w:p>
      <w:pPr>
        <w:pStyle w:val="List Paragraph"/>
        <w:shd w:val="clear" w:color="auto" w:fill="ffffff"/>
        <w:spacing w:before="100" w:after="100" w:line="240" w:lineRule="auto"/>
        <w:ind w:left="1440" w:firstLine="0"/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List Paragraph"/>
        <w:numPr>
          <w:ilvl w:val="0"/>
          <w:numId w:val="15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Verdana" w:cs="Verdana" w:hAnsi="Verdana" w:eastAsia="Verdana"/>
          <w:color w:val="000000"/>
          <w:position w:val="0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color w:val="000000"/>
          <w:sz w:val="18"/>
          <w:szCs w:val="18"/>
          <w:u w:color="000000"/>
          <w:rtl w:val="0"/>
          <w:lang w:val="en-US"/>
        </w:rPr>
        <w:t xml:space="preserve">Promote effective use of soil, water, plant, manure, and compost analytical information. </w:t>
      </w:r>
    </w:p>
    <w:p>
      <w:pPr>
        <w:pStyle w:val="List Paragraph"/>
        <w:numPr>
          <w:ilvl w:val="1"/>
          <w:numId w:val="17"/>
        </w:numPr>
        <w:shd w:val="clear" w:color="auto" w:fill="ffffff"/>
        <w:bidi w:val="0"/>
        <w:spacing w:before="100" w:after="100"/>
        <w:ind w:right="0"/>
        <w:jc w:val="left"/>
        <w:rPr>
          <w:rFonts w:ascii="Verdana" w:cs="Verdana" w:hAnsi="Verdana" w:eastAsia="Verdana"/>
          <w:color w:val="000000"/>
          <w:position w:val="0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color w:val="000000"/>
          <w:sz w:val="18"/>
          <w:szCs w:val="18"/>
          <w:u w:color="000000"/>
          <w:rtl w:val="0"/>
          <w:lang w:val="en-US"/>
        </w:rPr>
        <w:t>Procedures for Objective 1:</w:t>
      </w:r>
    </w:p>
    <w:p>
      <w:pPr>
        <w:pStyle w:val="List Paragraph"/>
        <w:numPr>
          <w:ilvl w:val="2"/>
          <w:numId w:val="19"/>
        </w:numPr>
        <w:shd w:val="clear" w:color="auto" w:fill="ffffff"/>
        <w:bidi w:val="0"/>
        <w:spacing w:before="100" w:after="100"/>
        <w:ind w:right="0"/>
        <w:jc w:val="left"/>
        <w:rPr>
          <w:rFonts w:ascii="Verdana" w:cs="Verdana" w:hAnsi="Verdana" w:eastAsia="Verdana"/>
          <w:color w:val="000000"/>
          <w:position w:val="0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color w:val="000000"/>
          <w:sz w:val="18"/>
          <w:szCs w:val="18"/>
          <w:u w:color="000000"/>
          <w:rtl w:val="0"/>
          <w:lang w:val="en-US"/>
        </w:rPr>
        <w:t xml:space="preserve">Integrate analytical test results into nutrient management software </w:t>
      </w:r>
    </w:p>
    <w:p>
      <w:pPr>
        <w:pStyle w:val="List Paragraph"/>
        <w:numPr>
          <w:ilvl w:val="2"/>
          <w:numId w:val="19"/>
        </w:numPr>
        <w:shd w:val="clear" w:color="auto" w:fill="ffffff"/>
        <w:bidi w:val="0"/>
        <w:spacing w:before="100" w:after="100"/>
        <w:ind w:right="0"/>
        <w:jc w:val="left"/>
        <w:rPr>
          <w:rFonts w:ascii="Verdana" w:cs="Verdana" w:hAnsi="Verdana" w:eastAsia="Verdana"/>
          <w:color w:val="000000"/>
          <w:position w:val="0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color w:val="000000"/>
          <w:sz w:val="18"/>
          <w:szCs w:val="18"/>
          <w:u w:color="000000"/>
          <w:rtl w:val="0"/>
          <w:lang w:val="en-US"/>
        </w:rPr>
        <w:t xml:space="preserve">Maintain and update the Western States Soil etc Testing Manual </w:t>
      </w:r>
    </w:p>
    <w:p>
      <w:pPr>
        <w:pStyle w:val="List Paragraph"/>
        <w:numPr>
          <w:ilvl w:val="2"/>
          <w:numId w:val="19"/>
        </w:numPr>
        <w:shd w:val="clear" w:color="auto" w:fill="ffffff"/>
        <w:bidi w:val="0"/>
        <w:spacing w:before="100" w:after="100"/>
        <w:ind w:right="0"/>
        <w:jc w:val="left"/>
        <w:rPr>
          <w:rFonts w:ascii="Verdana" w:cs="Verdana" w:hAnsi="Verdana" w:eastAsia="Verdana"/>
          <w:color w:val="000000"/>
          <w:position w:val="0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color w:val="000000"/>
          <w:sz w:val="18"/>
          <w:szCs w:val="18"/>
          <w:u w:color="000000"/>
          <w:rtl w:val="0"/>
          <w:lang w:val="en-US"/>
        </w:rPr>
        <w:t xml:space="preserve">Review status of soil/plant/water analysis Extension guides and summarize interpretive guidance </w:t>
      </w:r>
    </w:p>
    <w:p>
      <w:pPr>
        <w:pStyle w:val="List Paragraph"/>
        <w:numPr>
          <w:ilvl w:val="2"/>
          <w:numId w:val="19"/>
        </w:numPr>
        <w:shd w:val="clear" w:color="auto" w:fill="ffffff"/>
        <w:bidi w:val="0"/>
        <w:spacing w:before="100" w:after="100"/>
        <w:ind w:right="0"/>
        <w:jc w:val="left"/>
        <w:rPr>
          <w:rFonts w:ascii="Verdana" w:cs="Verdana" w:hAnsi="Verdana" w:eastAsia="Verdana"/>
          <w:color w:val="000000"/>
          <w:position w:val="0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color w:val="000000"/>
          <w:sz w:val="18"/>
          <w:szCs w:val="18"/>
          <w:u w:color="000000"/>
          <w:rtl w:val="0"/>
          <w:lang w:val="en-US"/>
        </w:rPr>
        <w:t xml:space="preserve">Explore method for internet distribution of methods manual, analytical interpretation guides etc. Website would be for clientele outreach. </w:t>
      </w:r>
    </w:p>
    <w:p>
      <w:pPr>
        <w:pStyle w:val="List Paragraph"/>
        <w:numPr>
          <w:ilvl w:val="0"/>
          <w:numId w:val="20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Verdana" w:cs="Verdana" w:hAnsi="Verdana" w:eastAsia="Verdana"/>
          <w:color w:val="000000"/>
          <w:position w:val="0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color w:val="000000"/>
          <w:sz w:val="18"/>
          <w:szCs w:val="18"/>
          <w:u w:color="000000"/>
          <w:rtl w:val="0"/>
          <w:lang w:val="en-US"/>
        </w:rPr>
        <w:t>Provide education on the principles of soil-plant-animal-water system management and the tools and practices that lead to sustainable agricultural production.</w:t>
      </w:r>
    </w:p>
    <w:p>
      <w:pPr>
        <w:pStyle w:val="List Paragraph"/>
        <w:numPr>
          <w:ilvl w:val="1"/>
          <w:numId w:val="22"/>
        </w:numPr>
        <w:shd w:val="clear" w:color="auto" w:fill="ffffff"/>
        <w:bidi w:val="0"/>
        <w:spacing w:before="100" w:after="100"/>
        <w:ind w:right="0"/>
        <w:jc w:val="left"/>
        <w:rPr>
          <w:rFonts w:ascii="Verdana" w:cs="Verdana" w:hAnsi="Verdana" w:eastAsia="Verdana"/>
          <w:color w:val="000000"/>
          <w:position w:val="0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color w:val="000000"/>
          <w:sz w:val="18"/>
          <w:szCs w:val="18"/>
          <w:u w:color="000000"/>
          <w:rtl w:val="0"/>
          <w:lang w:val="en-US"/>
        </w:rPr>
        <w:t>Procedures for Objective 3</w:t>
      </w:r>
    </w:p>
    <w:p>
      <w:pPr>
        <w:pStyle w:val="List Paragraph"/>
        <w:numPr>
          <w:ilvl w:val="2"/>
          <w:numId w:val="24"/>
        </w:numPr>
        <w:shd w:val="clear" w:color="auto" w:fill="ffffff"/>
        <w:bidi w:val="0"/>
        <w:spacing w:before="100" w:after="100"/>
        <w:ind w:right="0"/>
        <w:jc w:val="left"/>
        <w:rPr>
          <w:rFonts w:ascii="Verdana" w:cs="Verdana" w:hAnsi="Verdana" w:eastAsia="Verdana"/>
          <w:color w:val="000000"/>
          <w:position w:val="0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color w:val="000000"/>
          <w:sz w:val="18"/>
          <w:szCs w:val="18"/>
          <w:u w:color="000000"/>
          <w:rtl w:val="0"/>
          <w:lang w:val="en-US"/>
        </w:rPr>
        <w:t xml:space="preserve">Facilitate regional education among government agencies, private industry and universities through conferences, websites, extension publications, newsletters, and other appropriate media. </w:t>
      </w:r>
    </w:p>
    <w:p>
      <w:pPr>
        <w:pStyle w:val="List Paragraph"/>
        <w:numPr>
          <w:ilvl w:val="2"/>
          <w:numId w:val="24"/>
        </w:numPr>
        <w:shd w:val="clear" w:color="auto" w:fill="ffffff"/>
        <w:bidi w:val="0"/>
        <w:spacing w:before="100" w:after="100"/>
        <w:ind w:right="0"/>
        <w:jc w:val="left"/>
        <w:rPr>
          <w:rFonts w:ascii="Verdana" w:cs="Verdana" w:hAnsi="Verdana" w:eastAsia="Verdana"/>
          <w:color w:val="000000"/>
          <w:position w:val="0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color w:val="000000"/>
          <w:sz w:val="18"/>
          <w:szCs w:val="18"/>
          <w:u w:color="000000"/>
          <w:rtl w:val="0"/>
          <w:lang w:val="en-US"/>
        </w:rPr>
        <w:t xml:space="preserve">Disseminate information within the Western Region to extension educators, private agencies (e.g., Certified Crop Advisors) and other interested parties (e.g., K-12 teachers) through conferences, training the trainer opportunities, and access to published interpretive materials. </w:t>
      </w:r>
    </w:p>
    <w:p>
      <w:pPr>
        <w:pStyle w:val="List Paragraph"/>
        <w:numPr>
          <w:ilvl w:val="2"/>
          <w:numId w:val="24"/>
        </w:numPr>
        <w:shd w:val="clear" w:color="auto" w:fill="ffffff"/>
        <w:bidi w:val="0"/>
        <w:spacing w:before="100" w:after="100"/>
        <w:ind w:right="0"/>
        <w:jc w:val="left"/>
        <w:rPr>
          <w:rFonts w:ascii="Verdana" w:cs="Verdana" w:hAnsi="Verdana" w:eastAsia="Verdana"/>
          <w:color w:val="000000"/>
          <w:position w:val="0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color w:val="000000"/>
          <w:sz w:val="18"/>
          <w:szCs w:val="18"/>
          <w:u w:color="000000"/>
          <w:rtl w:val="0"/>
          <w:lang w:val="en-US"/>
        </w:rPr>
        <w:t xml:space="preserve">Conduct direct education to agricultural producers through conferences, grower meetings, and published interpretive materials. </w:t>
      </w:r>
    </w:p>
    <w:p>
      <w:pPr>
        <w:pStyle w:val="Body A"/>
        <w:spacing w:line="276" w:lineRule="auto"/>
        <w:rPr>
          <w:color w:val="000000"/>
          <w:position w:val="0"/>
          <w:u w:color="000000"/>
        </w:rPr>
      </w:pPr>
      <w:r>
        <w:rPr>
          <w:color w:val="000000"/>
          <w:position w:val="0"/>
          <w:u w:color="000000"/>
          <w:rtl w:val="0"/>
        </w:rPr>
        <w:t>3:00-3:15</w:t>
        <w:tab/>
        <w:t>Break</w:t>
      </w:r>
    </w:p>
    <w:p>
      <w:pPr>
        <w:pStyle w:val="Body A"/>
      </w:pPr>
      <w:r>
        <w:rPr>
          <w:rtl w:val="0"/>
          <w:lang w:val="en-US"/>
        </w:rPr>
        <w:t>3:15</w:t>
      </w:r>
      <w:r>
        <w:rPr>
          <w:rtl w:val="0"/>
          <w:lang w:val="en-US"/>
        </w:rPr>
        <w:t>-3:</w:t>
      </w:r>
      <w:r>
        <w:rPr>
          <w:rtl w:val="0"/>
          <w:lang w:val="en-US"/>
        </w:rPr>
        <w:t>45</w:t>
      </w:r>
      <w:r>
        <w:rPr>
          <w:rtl w:val="0"/>
          <w:lang w:val="en-US"/>
        </w:rPr>
        <w:t xml:space="preserve">  </w:t>
        <w:tab/>
        <w:t>Reports from each of the 3 groups summarizing their discussion</w:t>
      </w:r>
    </w:p>
    <w:p>
      <w:pPr>
        <w:pStyle w:val="Body"/>
        <w:spacing w:after="200" w:line="276" w:lineRule="auto"/>
        <w:ind w:left="1152" w:hanging="1152"/>
        <w:rPr>
          <w:rFonts w:ascii="Calibri" w:cs="Calibri" w:hAnsi="Calibri" w:eastAsia="Calibri"/>
          <w:sz w:val="22"/>
          <w:szCs w:val="22"/>
          <w:lang w:val="en-US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3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:45-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5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:00</w:t>
        <w:tab/>
      </w:r>
      <w:r>
        <w:rPr>
          <w:rFonts w:ascii="Calibri" w:cs="Calibri" w:hAnsi="Calibri" w:eastAsia="Calibri"/>
          <w:sz w:val="22"/>
          <w:szCs w:val="22"/>
          <w:lang w:val="en-US"/>
        </w:rPr>
        <w:tab/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Finish up WNMC Planning</w:t>
      </w:r>
    </w:p>
    <w:p>
      <w:pPr>
        <w:pStyle w:val="List Paragraph"/>
        <w:numPr>
          <w:ilvl w:val="1"/>
          <w:numId w:val="25"/>
        </w:numPr>
        <w:spacing w:line="276" w:lineRule="auto"/>
        <w:rPr>
          <w:lang w:val="en-US"/>
        </w:rPr>
      </w:pPr>
      <w:r>
        <w:rPr>
          <w:rtl w:val="0"/>
          <w:lang w:val="en-US"/>
        </w:rPr>
        <w:t>Symposia</w:t>
      </w:r>
    </w:p>
    <w:p>
      <w:pPr>
        <w:pStyle w:val="List Paragraph"/>
        <w:numPr>
          <w:ilvl w:val="1"/>
          <w:numId w:val="25"/>
        </w:numPr>
        <w:spacing w:line="276" w:lineRule="auto"/>
        <w:rPr>
          <w:lang w:val="en-US"/>
        </w:rPr>
      </w:pPr>
      <w:r>
        <w:rPr>
          <w:rtl w:val="0"/>
          <w:lang w:val="en-US"/>
        </w:rPr>
        <w:t>Speakers</w:t>
      </w:r>
    </w:p>
    <w:p>
      <w:pPr>
        <w:pStyle w:val="List Paragraph"/>
        <w:numPr>
          <w:ilvl w:val="1"/>
          <w:numId w:val="25"/>
        </w:numPr>
        <w:spacing w:line="276" w:lineRule="auto"/>
        <w:rPr>
          <w:lang w:val="en-US"/>
        </w:rPr>
      </w:pPr>
      <w:r>
        <w:rPr>
          <w:rtl w:val="0"/>
          <w:lang w:val="en-US"/>
        </w:rPr>
        <w:t>Posters</w:t>
        <w:tab/>
      </w:r>
    </w:p>
    <w:p>
      <w:pPr>
        <w:pStyle w:val="Body"/>
        <w:spacing w:after="200" w:line="276" w:lineRule="auto"/>
        <w:ind w:left="1152" w:hanging="1152"/>
        <w:rPr>
          <w:rFonts w:ascii="Calibri" w:cs="Calibri" w:hAnsi="Calibri" w:eastAsia="Calibri"/>
          <w:sz w:val="22"/>
          <w:szCs w:val="22"/>
          <w:lang w:val="en-US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5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:00</w:t>
        <w:tab/>
        <w:t>Adjourn</w:t>
      </w:r>
    </w:p>
    <w:p>
      <w:pPr>
        <w:pStyle w:val="Body"/>
        <w:spacing w:after="200" w:line="276" w:lineRule="auto"/>
        <w:ind w:left="1152" w:hanging="1152"/>
        <w:rPr>
          <w:rFonts w:ascii="Calibri" w:cs="Calibri" w:hAnsi="Calibri" w:eastAsia="Calibri"/>
          <w:sz w:val="22"/>
          <w:szCs w:val="22"/>
          <w:lang w:val="en-US"/>
        </w:rPr>
      </w:pPr>
    </w:p>
    <w:p>
      <w:pPr>
        <w:pStyle w:val="Body"/>
        <w:spacing w:after="200" w:line="276" w:lineRule="auto"/>
        <w:ind w:left="1152" w:hanging="1152"/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April 13, 8 am - 5 pm:  Agricultural Tour in the Fort Collins area, including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CSU research Farm, Ethanol plant, greenhouse tomato operation, New Belgium Brewery, compost operation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, and an industrial hemp facility.  Hosts Troy Bauder and Bob Miller.</w:t>
      </w:r>
      <w:r>
        <w:rPr>
          <w:rFonts w:ascii="Calibri" w:cs="Calibri" w:hAnsi="Calibri" w:eastAsia="Calibri"/>
          <w:b w:val="1"/>
          <w:bCs w:val="1"/>
          <w:sz w:val="22"/>
          <w:szCs w:val="22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Verdan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1.0"/>
  </w:abstractNum>
  <w:abstractNum w:abstractNumId="5">
    <w:multiLevelType w:val="hybridMultilevel"/>
    <w:styleLink w:val="Imported Style 1.0"/>
    <w:lvl w:ilvl="0">
      <w:start w:val="1"/>
      <w:numFmt w:val="bullet"/>
      <w:suff w:val="tab"/>
      <w:lvlText w:val="•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Bullets"/>
  </w:abstractNum>
  <w:abstractNum w:abstractNumId="7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tabs>
          <w:tab w:val="num" w:pos="174"/>
        </w:tabs>
        <w:ind w:left="1326" w:hanging="1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774"/>
        </w:tabs>
        <w:ind w:left="1926" w:hanging="1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374"/>
        </w:tabs>
        <w:ind w:left="2526" w:hanging="1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1974"/>
        </w:tabs>
        <w:ind w:left="3126" w:hanging="1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2574"/>
        </w:tabs>
        <w:ind w:left="3726" w:hanging="1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3174"/>
        </w:tabs>
        <w:ind w:left="4326" w:hanging="1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3774"/>
        </w:tabs>
        <w:ind w:left="4926" w:hanging="1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4374"/>
        </w:tabs>
        <w:ind w:left="5526" w:hanging="1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4974"/>
        </w:tabs>
        <w:ind w:left="6126" w:hanging="1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3"/>
  </w:abstractNum>
  <w:abstractNum w:abstractNumId="9">
    <w:multiLevelType w:val="hybridMultilevel"/>
    <w:styleLink w:val="Imported Style 3"/>
    <w:lvl w:ilvl="0">
      <w:start w:val="1"/>
      <w:numFmt w:val="decimal"/>
      <w:suff w:val="tab"/>
      <w:lvlText w:val="%1)"/>
      <w:lvlJc w:val="left"/>
      <w:pPr>
        <w:ind w:left="800" w:hanging="44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800"/>
        </w:tabs>
        <w:ind w:left="1350" w:hanging="27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800"/>
        </w:tabs>
        <w:ind w:left="2086" w:hanging="22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800"/>
        </w:tabs>
        <w:ind w:left="2790" w:hanging="27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800"/>
        </w:tabs>
        <w:ind w:left="3510" w:hanging="27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800"/>
        </w:tabs>
        <w:ind w:left="4246" w:hanging="22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800"/>
        </w:tabs>
        <w:ind w:left="4950" w:hanging="27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800"/>
        </w:tabs>
        <w:ind w:left="5670" w:hanging="27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800"/>
        </w:tabs>
        <w:ind w:left="6406" w:hanging="22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4"/>
  </w:abstractNum>
  <w:abstractNum w:abstractNumId="11">
    <w:multiLevelType w:val="hybridMultilevel"/>
    <w:styleLink w:val="Imported Style 4"/>
    <w:lvl w:ilvl="0">
      <w:start w:val="1"/>
      <w:numFmt w:val="decimal"/>
      <w:suff w:val="tab"/>
      <w:lvlText w:val="%1)"/>
      <w:lvlJc w:val="left"/>
      <w:pPr>
        <w:tabs>
          <w:tab w:val="left" w:pos="1520"/>
        </w:tabs>
        <w:ind w:left="563" w:hanging="20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20" w:hanging="44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520"/>
        </w:tabs>
        <w:ind w:left="2086" w:hanging="22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520"/>
        </w:tabs>
        <w:ind w:left="2790" w:hanging="27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520"/>
        </w:tabs>
        <w:ind w:left="3510" w:hanging="27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520"/>
        </w:tabs>
        <w:ind w:left="4246" w:hanging="22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520"/>
        </w:tabs>
        <w:ind w:left="4950" w:hanging="27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520"/>
        </w:tabs>
        <w:ind w:left="5670" w:hanging="27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520"/>
        </w:tabs>
        <w:ind w:left="6406" w:hanging="22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5"/>
  </w:abstractNum>
  <w:abstractNum w:abstractNumId="13">
    <w:multiLevelType w:val="hybridMultilevel"/>
    <w:styleLink w:val="Imported Style 5"/>
    <w:lvl w:ilvl="0">
      <w:start w:val="1"/>
      <w:numFmt w:val="decimal"/>
      <w:suff w:val="tab"/>
      <w:lvlText w:val="%1)"/>
      <w:lvlJc w:val="left"/>
      <w:pPr>
        <w:tabs>
          <w:tab w:val="left" w:pos="2220"/>
        </w:tabs>
        <w:ind w:left="563" w:hanging="20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220"/>
        </w:tabs>
        <w:ind w:left="1283" w:hanging="20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20" w:hanging="32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220"/>
        </w:tabs>
        <w:ind w:left="2790" w:hanging="269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220"/>
        </w:tabs>
        <w:ind w:left="3510" w:hanging="269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220"/>
        </w:tabs>
        <w:ind w:left="4246" w:hanging="22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220"/>
        </w:tabs>
        <w:ind w:left="4950" w:hanging="269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220"/>
        </w:tabs>
        <w:ind w:left="5670" w:hanging="269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220"/>
        </w:tabs>
        <w:ind w:left="6406" w:hanging="22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6"/>
  </w:abstractNum>
  <w:abstractNum w:abstractNumId="15">
    <w:multiLevelType w:val="hybridMultilevel"/>
    <w:styleLink w:val="Imported Style 6"/>
    <w:lvl w:ilvl="0">
      <w:start w:val="1"/>
      <w:numFmt w:val="decimal"/>
      <w:suff w:val="tab"/>
      <w:lvlText w:val="%1)"/>
      <w:lvlJc w:val="left"/>
      <w:pPr>
        <w:tabs>
          <w:tab w:val="left" w:pos="1520"/>
        </w:tabs>
        <w:ind w:left="563" w:hanging="20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20" w:hanging="44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520"/>
        </w:tabs>
        <w:ind w:left="2086" w:hanging="22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520"/>
        </w:tabs>
        <w:ind w:left="2790" w:hanging="27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520"/>
        </w:tabs>
        <w:ind w:left="3510" w:hanging="27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520"/>
        </w:tabs>
        <w:ind w:left="4246" w:hanging="22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520"/>
        </w:tabs>
        <w:ind w:left="4950" w:hanging="27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520"/>
        </w:tabs>
        <w:ind w:left="5670" w:hanging="27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520"/>
        </w:tabs>
        <w:ind w:left="6406" w:hanging="22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7"/>
  </w:abstractNum>
  <w:abstractNum w:abstractNumId="17">
    <w:multiLevelType w:val="hybridMultilevel"/>
    <w:styleLink w:val="Imported Style 7"/>
    <w:lvl w:ilvl="0">
      <w:start w:val="1"/>
      <w:numFmt w:val="decimal"/>
      <w:suff w:val="tab"/>
      <w:lvlText w:val="%1)"/>
      <w:lvlJc w:val="left"/>
      <w:pPr>
        <w:tabs>
          <w:tab w:val="left" w:pos="2220"/>
        </w:tabs>
        <w:ind w:left="563" w:hanging="20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220"/>
        </w:tabs>
        <w:ind w:left="1283" w:hanging="20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20" w:hanging="32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220"/>
        </w:tabs>
        <w:ind w:left="2790" w:hanging="269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220"/>
        </w:tabs>
        <w:ind w:left="3510" w:hanging="269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220"/>
        </w:tabs>
        <w:ind w:left="4246" w:hanging="22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220"/>
        </w:tabs>
        <w:ind w:left="4950" w:hanging="269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220"/>
        </w:tabs>
        <w:ind w:left="5670" w:hanging="269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220"/>
        </w:tabs>
        <w:ind w:left="6406" w:hanging="22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ed Style 8"/>
  </w:abstractNum>
  <w:abstractNum w:abstractNumId="19">
    <w:multiLevelType w:val="hybridMultilevel"/>
    <w:styleLink w:val="Imported Style 8"/>
    <w:lvl w:ilvl="0">
      <w:start w:val="1"/>
      <w:numFmt w:val="decimal"/>
      <w:suff w:val="tab"/>
      <w:lvlText w:val="%1)"/>
      <w:lvlJc w:val="left"/>
      <w:pPr>
        <w:tabs>
          <w:tab w:val="left" w:pos="1520"/>
        </w:tabs>
        <w:ind w:left="563" w:hanging="20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20" w:hanging="44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520"/>
        </w:tabs>
        <w:ind w:left="2086" w:hanging="22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520"/>
        </w:tabs>
        <w:ind w:left="2790" w:hanging="27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520"/>
        </w:tabs>
        <w:ind w:left="3510" w:hanging="27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520"/>
        </w:tabs>
        <w:ind w:left="4246" w:hanging="22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520"/>
        </w:tabs>
        <w:ind w:left="4950" w:hanging="27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520"/>
        </w:tabs>
        <w:ind w:left="5670" w:hanging="27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520"/>
        </w:tabs>
        <w:ind w:left="6406" w:hanging="22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ed Style 9"/>
  </w:abstractNum>
  <w:abstractNum w:abstractNumId="21">
    <w:multiLevelType w:val="hybridMultilevel"/>
    <w:styleLink w:val="Imported Style 9"/>
    <w:lvl w:ilvl="0">
      <w:start w:val="1"/>
      <w:numFmt w:val="decimal"/>
      <w:suff w:val="tab"/>
      <w:lvlText w:val="%1)"/>
      <w:lvlJc w:val="left"/>
      <w:pPr>
        <w:tabs>
          <w:tab w:val="left" w:pos="2220"/>
        </w:tabs>
        <w:ind w:left="563" w:hanging="20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220"/>
        </w:tabs>
        <w:ind w:left="1283" w:hanging="20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20" w:hanging="32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220"/>
        </w:tabs>
        <w:ind w:left="2790" w:hanging="269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220"/>
        </w:tabs>
        <w:ind w:left="3510" w:hanging="269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220"/>
        </w:tabs>
        <w:ind w:left="4246" w:hanging="22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220"/>
        </w:tabs>
        <w:ind w:left="4950" w:hanging="269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220"/>
        </w:tabs>
        <w:ind w:left="5670" w:hanging="269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220"/>
        </w:tabs>
        <w:ind w:left="6406" w:hanging="22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8"/>
    <w:lvlOverride w:ilvl="0">
      <w:startOverride w:val="2"/>
    </w:lvlOverride>
  </w:num>
  <w:num w:numId="16">
    <w:abstractNumId w:val="15"/>
  </w:num>
  <w:num w:numId="17">
    <w:abstractNumId w:val="14"/>
  </w:num>
  <w:num w:numId="18">
    <w:abstractNumId w:val="17"/>
  </w:num>
  <w:num w:numId="19">
    <w:abstractNumId w:val="16"/>
  </w:num>
  <w:num w:numId="20">
    <w:abstractNumId w:val="8"/>
    <w:lvlOverride w:ilvl="0">
      <w:startOverride w:val="3"/>
    </w:lvlOverride>
  </w:num>
  <w:num w:numId="21">
    <w:abstractNumId w:val="19"/>
  </w:num>
  <w:num w:numId="22">
    <w:abstractNumId w:val="18"/>
  </w:num>
  <w:num w:numId="23">
    <w:abstractNumId w:val="21"/>
  </w:num>
  <w:num w:numId="24">
    <w:abstractNumId w:val="20"/>
  </w:num>
  <w:num w:numId="25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ind w:left="66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8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4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1.0">
    <w:name w:val="Imported Style 1.0"/>
    <w:pPr>
      <w:numPr>
        <w:numId w:val="5"/>
      </w:numPr>
    </w:pPr>
  </w:style>
  <w:style w:type="numbering" w:styleId="Bullets">
    <w:name w:val="Bullets"/>
    <w:pPr>
      <w:numPr>
        <w:numId w:val="7"/>
      </w:numPr>
    </w:p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3">
    <w:name w:val="Imported Style 3"/>
    <w:pPr>
      <w:numPr>
        <w:numId w:val="9"/>
      </w:numPr>
    </w:pPr>
  </w:style>
  <w:style w:type="numbering" w:styleId="Imported Style 4">
    <w:name w:val="Imported Style 4"/>
    <w:pPr>
      <w:numPr>
        <w:numId w:val="11"/>
      </w:numPr>
    </w:pPr>
  </w:style>
  <w:style w:type="numbering" w:styleId="Imported Style 5">
    <w:name w:val="Imported Style 5"/>
    <w:pPr>
      <w:numPr>
        <w:numId w:val="13"/>
      </w:numPr>
    </w:pPr>
  </w:style>
  <w:style w:type="numbering" w:styleId="Imported Style 6">
    <w:name w:val="Imported Style 6"/>
    <w:pPr>
      <w:numPr>
        <w:numId w:val="16"/>
      </w:numPr>
    </w:pPr>
  </w:style>
  <w:style w:type="numbering" w:styleId="Imported Style 7">
    <w:name w:val="Imported Style 7"/>
    <w:pPr>
      <w:numPr>
        <w:numId w:val="18"/>
      </w:numPr>
    </w:pPr>
  </w:style>
  <w:style w:type="numbering" w:styleId="Imported Style 8">
    <w:name w:val="Imported Style 8"/>
    <w:pPr>
      <w:numPr>
        <w:numId w:val="21"/>
      </w:numPr>
    </w:pPr>
  </w:style>
  <w:style w:type="numbering" w:styleId="Imported Style 9">
    <w:name w:val="Imported Style 9"/>
    <w:pPr>
      <w:numPr>
        <w:numId w:val="2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