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CF129" w14:textId="26D80F58" w:rsidR="00D95895" w:rsidRPr="00A33849" w:rsidRDefault="000938BF" w:rsidP="007D410C">
      <w:pPr>
        <w:jc w:val="center"/>
        <w:rPr>
          <w:rFonts w:asciiTheme="majorHAnsi" w:hAnsiTheme="majorHAnsi"/>
          <w:b/>
          <w:sz w:val="22"/>
          <w:szCs w:val="22"/>
        </w:rPr>
      </w:pPr>
      <w:r w:rsidRPr="00A33849">
        <w:rPr>
          <w:rFonts w:asciiTheme="majorHAnsi" w:hAnsiTheme="majorHAnsi"/>
          <w:b/>
          <w:sz w:val="22"/>
          <w:szCs w:val="22"/>
        </w:rPr>
        <w:t xml:space="preserve"> </w:t>
      </w:r>
      <w:r w:rsidR="00D95895" w:rsidRPr="00A33849">
        <w:rPr>
          <w:rFonts w:asciiTheme="majorHAnsi" w:hAnsiTheme="majorHAnsi"/>
          <w:b/>
          <w:sz w:val="22"/>
          <w:szCs w:val="22"/>
        </w:rPr>
        <w:t>S10</w:t>
      </w:r>
      <w:r w:rsidR="00A178FD">
        <w:rPr>
          <w:rFonts w:asciiTheme="majorHAnsi" w:hAnsiTheme="majorHAnsi"/>
          <w:b/>
          <w:sz w:val="22"/>
          <w:szCs w:val="22"/>
        </w:rPr>
        <w:t>7</w:t>
      </w:r>
      <w:r w:rsidR="00D95895" w:rsidRPr="00A33849">
        <w:rPr>
          <w:rFonts w:asciiTheme="majorHAnsi" w:hAnsiTheme="majorHAnsi"/>
          <w:b/>
          <w:sz w:val="22"/>
          <w:szCs w:val="22"/>
        </w:rPr>
        <w:t xml:space="preserve">2 </w:t>
      </w:r>
      <w:r w:rsidR="00A178FD">
        <w:rPr>
          <w:rFonts w:asciiTheme="majorHAnsi" w:hAnsiTheme="majorHAnsi"/>
          <w:b/>
          <w:sz w:val="22"/>
          <w:szCs w:val="22"/>
        </w:rPr>
        <w:t xml:space="preserve">2019 </w:t>
      </w:r>
      <w:r w:rsidR="00D95895" w:rsidRPr="00A33849">
        <w:rPr>
          <w:rFonts w:asciiTheme="majorHAnsi" w:hAnsiTheme="majorHAnsi"/>
          <w:b/>
          <w:sz w:val="22"/>
          <w:szCs w:val="22"/>
        </w:rPr>
        <w:t>Meeting</w:t>
      </w:r>
      <w:r w:rsidR="00E43635" w:rsidRPr="00A33849">
        <w:rPr>
          <w:rFonts w:asciiTheme="majorHAnsi" w:hAnsiTheme="majorHAnsi"/>
          <w:b/>
          <w:sz w:val="22"/>
          <w:szCs w:val="22"/>
        </w:rPr>
        <w:t xml:space="preserve"> Agenda</w:t>
      </w:r>
      <w:bookmarkStart w:id="0" w:name="_GoBack"/>
      <w:bookmarkEnd w:id="0"/>
    </w:p>
    <w:p w14:paraId="15F1ECEE" w14:textId="018FC2F6" w:rsidR="00F60D21" w:rsidRPr="00A33849" w:rsidRDefault="00A178FD" w:rsidP="00E43635">
      <w:pPr>
        <w:jc w:val="center"/>
        <w:rPr>
          <w:rFonts w:asciiTheme="majorHAnsi" w:hAnsiTheme="majorHAnsi"/>
          <w:sz w:val="22"/>
          <w:szCs w:val="22"/>
        </w:rPr>
      </w:pPr>
      <w:r>
        <w:rPr>
          <w:rFonts w:asciiTheme="majorHAnsi" w:hAnsiTheme="majorHAnsi"/>
          <w:sz w:val="22"/>
          <w:szCs w:val="22"/>
        </w:rPr>
        <w:t>December 11</w:t>
      </w:r>
      <w:r w:rsidR="00536F79">
        <w:rPr>
          <w:rFonts w:asciiTheme="majorHAnsi" w:hAnsiTheme="majorHAnsi"/>
          <w:sz w:val="22"/>
          <w:szCs w:val="22"/>
        </w:rPr>
        <w:t>, 201</w:t>
      </w:r>
      <w:r>
        <w:rPr>
          <w:rFonts w:asciiTheme="majorHAnsi" w:hAnsiTheme="majorHAnsi"/>
          <w:sz w:val="22"/>
          <w:szCs w:val="22"/>
        </w:rPr>
        <w:t>9</w:t>
      </w:r>
      <w:r w:rsidR="00423E68">
        <w:rPr>
          <w:rFonts w:asciiTheme="majorHAnsi" w:hAnsiTheme="majorHAnsi"/>
          <w:sz w:val="22"/>
          <w:szCs w:val="22"/>
        </w:rPr>
        <w:t xml:space="preserve">.  </w:t>
      </w:r>
      <w:r>
        <w:rPr>
          <w:rFonts w:asciiTheme="majorHAnsi" w:hAnsiTheme="majorHAnsi"/>
          <w:sz w:val="22"/>
          <w:szCs w:val="22"/>
        </w:rPr>
        <w:t>Archives Room, First Floor, Hilton Washington DC National Mall</w:t>
      </w:r>
    </w:p>
    <w:p w14:paraId="27A2C020" w14:textId="77777777" w:rsidR="00D95895" w:rsidRPr="00A33849" w:rsidRDefault="00D95895" w:rsidP="00D95895">
      <w:pPr>
        <w:jc w:val="center"/>
        <w:rPr>
          <w:rFonts w:asciiTheme="majorHAnsi" w:hAnsiTheme="majorHAnsi"/>
          <w:b/>
          <w:sz w:val="22"/>
          <w:szCs w:val="22"/>
        </w:rPr>
      </w:pPr>
    </w:p>
    <w:p w14:paraId="7145A3FB" w14:textId="77777777" w:rsidR="00B53344" w:rsidRPr="00B53344" w:rsidRDefault="00B53344" w:rsidP="00280D82">
      <w:pPr>
        <w:ind w:left="1440" w:hanging="1440"/>
        <w:rPr>
          <w:rFonts w:asciiTheme="majorHAnsi" w:hAnsiTheme="majorHAnsi"/>
          <w:sz w:val="12"/>
          <w:szCs w:val="12"/>
        </w:rPr>
      </w:pPr>
    </w:p>
    <w:tbl>
      <w:tblPr>
        <w:tblStyle w:val="TableGrid"/>
        <w:tblW w:w="0" w:type="auto"/>
        <w:tblLook w:val="04A0" w:firstRow="1" w:lastRow="0" w:firstColumn="1" w:lastColumn="0" w:noHBand="0" w:noVBand="1"/>
      </w:tblPr>
      <w:tblGrid>
        <w:gridCol w:w="625"/>
        <w:gridCol w:w="4362"/>
        <w:gridCol w:w="4363"/>
      </w:tblGrid>
      <w:tr w:rsidR="004A5CC1" w14:paraId="100B8132" w14:textId="77777777" w:rsidTr="002C7D80">
        <w:tc>
          <w:tcPr>
            <w:tcW w:w="625" w:type="dxa"/>
            <w:vAlign w:val="center"/>
          </w:tcPr>
          <w:p w14:paraId="223B4613" w14:textId="77777777" w:rsidR="004A5CC1" w:rsidRDefault="004A5CC1" w:rsidP="002C7D80">
            <w:pPr>
              <w:spacing w:line="360" w:lineRule="auto"/>
              <w:jc w:val="center"/>
              <w:rPr>
                <w:rFonts w:ascii="Calibri" w:hAnsi="Calibri"/>
                <w:color w:val="000000"/>
              </w:rPr>
            </w:pPr>
            <w:r>
              <w:rPr>
                <w:rFonts w:ascii="Calibri" w:hAnsi="Calibri"/>
                <w:color w:val="000000"/>
              </w:rPr>
              <w:t> </w:t>
            </w:r>
          </w:p>
        </w:tc>
        <w:tc>
          <w:tcPr>
            <w:tcW w:w="4362" w:type="dxa"/>
            <w:vAlign w:val="center"/>
          </w:tcPr>
          <w:p w14:paraId="56FBFC53" w14:textId="0BF683E7" w:rsidR="004A5CC1" w:rsidRDefault="004A5CC1" w:rsidP="002C7D80">
            <w:pPr>
              <w:spacing w:line="360" w:lineRule="auto"/>
              <w:jc w:val="center"/>
              <w:rPr>
                <w:rFonts w:ascii="Calibri" w:hAnsi="Calibri"/>
                <w:color w:val="000000"/>
              </w:rPr>
            </w:pPr>
            <w:r>
              <w:rPr>
                <w:rFonts w:ascii="Calibri" w:hAnsi="Calibri"/>
                <w:color w:val="000000"/>
              </w:rPr>
              <w:t>Participant</w:t>
            </w:r>
          </w:p>
        </w:tc>
        <w:tc>
          <w:tcPr>
            <w:tcW w:w="4363" w:type="dxa"/>
            <w:vAlign w:val="center"/>
          </w:tcPr>
          <w:p w14:paraId="1C0BE98D" w14:textId="77777777" w:rsidR="004A5CC1" w:rsidRDefault="004A5CC1" w:rsidP="002C7D80">
            <w:pPr>
              <w:spacing w:line="360" w:lineRule="auto"/>
              <w:jc w:val="center"/>
              <w:rPr>
                <w:rFonts w:ascii="Calibri" w:hAnsi="Calibri"/>
                <w:color w:val="000000"/>
              </w:rPr>
            </w:pPr>
            <w:r>
              <w:rPr>
                <w:rFonts w:ascii="Calibri" w:hAnsi="Calibri"/>
                <w:color w:val="000000"/>
              </w:rPr>
              <w:t>Affiliation</w:t>
            </w:r>
          </w:p>
        </w:tc>
      </w:tr>
      <w:tr w:rsidR="004A5CC1" w14:paraId="465DCFBC" w14:textId="77777777" w:rsidTr="002C7D80">
        <w:tc>
          <w:tcPr>
            <w:tcW w:w="625" w:type="dxa"/>
            <w:vAlign w:val="center"/>
          </w:tcPr>
          <w:p w14:paraId="24680CC5" w14:textId="17ECB96C" w:rsidR="004A5CC1" w:rsidRDefault="004A5CC1" w:rsidP="002C7D80">
            <w:pPr>
              <w:spacing w:line="360" w:lineRule="auto"/>
              <w:jc w:val="right"/>
              <w:rPr>
                <w:rFonts w:ascii="Calibri" w:hAnsi="Calibri"/>
                <w:color w:val="000000"/>
              </w:rPr>
            </w:pPr>
            <w:r>
              <w:rPr>
                <w:rFonts w:ascii="Calibri" w:hAnsi="Calibri"/>
                <w:color w:val="000000"/>
              </w:rPr>
              <w:t>1</w:t>
            </w:r>
          </w:p>
        </w:tc>
        <w:tc>
          <w:tcPr>
            <w:tcW w:w="4362" w:type="dxa"/>
            <w:vAlign w:val="center"/>
          </w:tcPr>
          <w:p w14:paraId="46BE9E7C" w14:textId="77777777" w:rsidR="004A5CC1" w:rsidRDefault="004A5CC1" w:rsidP="002C7D80">
            <w:pPr>
              <w:spacing w:line="360" w:lineRule="auto"/>
              <w:rPr>
                <w:rFonts w:ascii="Calibri" w:hAnsi="Calibri"/>
                <w:color w:val="000000"/>
              </w:rPr>
            </w:pPr>
            <w:r>
              <w:rPr>
                <w:rFonts w:ascii="Calibri" w:hAnsi="Calibri"/>
                <w:color w:val="000000"/>
              </w:rPr>
              <w:t>Countryman, Amanda</w:t>
            </w:r>
          </w:p>
        </w:tc>
        <w:tc>
          <w:tcPr>
            <w:tcW w:w="4363" w:type="dxa"/>
            <w:vAlign w:val="center"/>
          </w:tcPr>
          <w:p w14:paraId="19D2C860" w14:textId="77777777" w:rsidR="004A5CC1" w:rsidRDefault="004A5CC1" w:rsidP="002C7D80">
            <w:pPr>
              <w:spacing w:line="360" w:lineRule="auto"/>
              <w:rPr>
                <w:rFonts w:ascii="Calibri" w:hAnsi="Calibri"/>
                <w:color w:val="000000"/>
              </w:rPr>
            </w:pPr>
            <w:r>
              <w:rPr>
                <w:rFonts w:ascii="Calibri" w:hAnsi="Calibri"/>
                <w:color w:val="000000"/>
              </w:rPr>
              <w:t>Colorado State University</w:t>
            </w:r>
          </w:p>
        </w:tc>
      </w:tr>
      <w:tr w:rsidR="004A5CC1" w14:paraId="347619C9" w14:textId="77777777" w:rsidTr="002C7D80">
        <w:tc>
          <w:tcPr>
            <w:tcW w:w="625" w:type="dxa"/>
            <w:vAlign w:val="center"/>
          </w:tcPr>
          <w:p w14:paraId="17F7365E" w14:textId="6F921B87" w:rsidR="004A5CC1" w:rsidRDefault="004A5CC1" w:rsidP="002C7D80">
            <w:pPr>
              <w:spacing w:line="360" w:lineRule="auto"/>
              <w:jc w:val="right"/>
              <w:rPr>
                <w:rFonts w:ascii="Calibri" w:hAnsi="Calibri"/>
                <w:color w:val="000000"/>
              </w:rPr>
            </w:pPr>
            <w:r>
              <w:rPr>
                <w:rFonts w:ascii="Calibri" w:hAnsi="Calibri"/>
                <w:color w:val="000000"/>
              </w:rPr>
              <w:t>2</w:t>
            </w:r>
          </w:p>
        </w:tc>
        <w:tc>
          <w:tcPr>
            <w:tcW w:w="4362" w:type="dxa"/>
            <w:vAlign w:val="center"/>
          </w:tcPr>
          <w:p w14:paraId="01ED6A2D" w14:textId="77777777" w:rsidR="004A5CC1" w:rsidRDefault="004A5CC1" w:rsidP="002C7D80">
            <w:pPr>
              <w:spacing w:line="360" w:lineRule="auto"/>
              <w:rPr>
                <w:rFonts w:ascii="Calibri" w:hAnsi="Calibri"/>
                <w:color w:val="000000"/>
              </w:rPr>
            </w:pPr>
            <w:r>
              <w:rPr>
                <w:rFonts w:ascii="Calibri" w:hAnsi="Calibri"/>
                <w:color w:val="000000"/>
              </w:rPr>
              <w:t>Durand-Morat, Alvaro</w:t>
            </w:r>
          </w:p>
        </w:tc>
        <w:tc>
          <w:tcPr>
            <w:tcW w:w="4363" w:type="dxa"/>
            <w:vAlign w:val="center"/>
          </w:tcPr>
          <w:p w14:paraId="0C0EF267" w14:textId="77777777" w:rsidR="004A5CC1" w:rsidRDefault="004A5CC1" w:rsidP="002C7D80">
            <w:pPr>
              <w:spacing w:line="360" w:lineRule="auto"/>
              <w:rPr>
                <w:rFonts w:ascii="Calibri" w:hAnsi="Calibri"/>
                <w:color w:val="000000"/>
              </w:rPr>
            </w:pPr>
            <w:r>
              <w:rPr>
                <w:rFonts w:ascii="Calibri" w:hAnsi="Calibri"/>
                <w:color w:val="000000"/>
              </w:rPr>
              <w:t>University of Arkansas</w:t>
            </w:r>
          </w:p>
        </w:tc>
      </w:tr>
      <w:tr w:rsidR="004A5CC1" w14:paraId="20F91D8C" w14:textId="77777777" w:rsidTr="002C7D80">
        <w:tc>
          <w:tcPr>
            <w:tcW w:w="625" w:type="dxa"/>
            <w:vAlign w:val="center"/>
          </w:tcPr>
          <w:p w14:paraId="31C7FF9D" w14:textId="61C6BC5D" w:rsidR="004A5CC1" w:rsidRDefault="004A5CC1" w:rsidP="002C7D80">
            <w:pPr>
              <w:spacing w:line="360" w:lineRule="auto"/>
              <w:jc w:val="right"/>
              <w:rPr>
                <w:rFonts w:ascii="Calibri" w:hAnsi="Calibri"/>
                <w:color w:val="000000"/>
              </w:rPr>
            </w:pPr>
            <w:r>
              <w:rPr>
                <w:rFonts w:ascii="Calibri" w:hAnsi="Calibri"/>
                <w:color w:val="000000"/>
              </w:rPr>
              <w:t>3</w:t>
            </w:r>
          </w:p>
        </w:tc>
        <w:tc>
          <w:tcPr>
            <w:tcW w:w="4362" w:type="dxa"/>
            <w:vAlign w:val="center"/>
          </w:tcPr>
          <w:p w14:paraId="60A5FF31" w14:textId="77777777" w:rsidR="004A5CC1" w:rsidRDefault="004A5CC1" w:rsidP="002C7D80">
            <w:pPr>
              <w:spacing w:line="360" w:lineRule="auto"/>
              <w:rPr>
                <w:rFonts w:ascii="Calibri" w:hAnsi="Calibri"/>
                <w:color w:val="000000"/>
              </w:rPr>
            </w:pPr>
            <w:r>
              <w:rPr>
                <w:rFonts w:ascii="Calibri" w:hAnsi="Calibri"/>
                <w:color w:val="000000"/>
              </w:rPr>
              <w:t>Gallagher, Paul</w:t>
            </w:r>
          </w:p>
        </w:tc>
        <w:tc>
          <w:tcPr>
            <w:tcW w:w="4363" w:type="dxa"/>
            <w:vAlign w:val="center"/>
          </w:tcPr>
          <w:p w14:paraId="5B3BD221" w14:textId="77777777" w:rsidR="004A5CC1" w:rsidRDefault="004A5CC1" w:rsidP="002C7D80">
            <w:pPr>
              <w:spacing w:line="360" w:lineRule="auto"/>
              <w:rPr>
                <w:rFonts w:ascii="Calibri" w:hAnsi="Calibri"/>
                <w:color w:val="000000"/>
              </w:rPr>
            </w:pPr>
            <w:r>
              <w:rPr>
                <w:rFonts w:ascii="Calibri" w:hAnsi="Calibri"/>
                <w:color w:val="000000"/>
              </w:rPr>
              <w:t>Iowa State University</w:t>
            </w:r>
          </w:p>
        </w:tc>
      </w:tr>
      <w:tr w:rsidR="004A5CC1" w14:paraId="72AE13C8" w14:textId="77777777" w:rsidTr="002C7D80">
        <w:tc>
          <w:tcPr>
            <w:tcW w:w="625" w:type="dxa"/>
            <w:vAlign w:val="center"/>
          </w:tcPr>
          <w:p w14:paraId="0FEF4A5F" w14:textId="203535FF" w:rsidR="004A5CC1" w:rsidRDefault="004A5CC1" w:rsidP="002C7D80">
            <w:pPr>
              <w:spacing w:line="360" w:lineRule="auto"/>
              <w:jc w:val="right"/>
              <w:rPr>
                <w:rFonts w:ascii="Calibri" w:hAnsi="Calibri"/>
                <w:color w:val="000000"/>
              </w:rPr>
            </w:pPr>
            <w:r>
              <w:rPr>
                <w:rFonts w:ascii="Calibri" w:hAnsi="Calibri"/>
                <w:color w:val="000000"/>
              </w:rPr>
              <w:t>4</w:t>
            </w:r>
          </w:p>
        </w:tc>
        <w:tc>
          <w:tcPr>
            <w:tcW w:w="4362" w:type="dxa"/>
            <w:vAlign w:val="center"/>
          </w:tcPr>
          <w:p w14:paraId="6A04CF10" w14:textId="77777777" w:rsidR="004A5CC1" w:rsidRDefault="004A5CC1" w:rsidP="002C7D80">
            <w:pPr>
              <w:spacing w:line="360" w:lineRule="auto"/>
              <w:rPr>
                <w:rFonts w:ascii="Calibri" w:hAnsi="Calibri"/>
                <w:color w:val="000000"/>
              </w:rPr>
            </w:pPr>
            <w:r>
              <w:rPr>
                <w:rFonts w:ascii="Calibri" w:hAnsi="Calibri"/>
                <w:color w:val="000000"/>
              </w:rPr>
              <w:t>Kennedy, Lynn</w:t>
            </w:r>
          </w:p>
        </w:tc>
        <w:tc>
          <w:tcPr>
            <w:tcW w:w="4363" w:type="dxa"/>
            <w:vAlign w:val="center"/>
          </w:tcPr>
          <w:p w14:paraId="55888DA0" w14:textId="77777777" w:rsidR="004A5CC1" w:rsidRDefault="004A5CC1" w:rsidP="002C7D80">
            <w:pPr>
              <w:spacing w:line="360" w:lineRule="auto"/>
              <w:rPr>
                <w:rFonts w:ascii="Calibri" w:hAnsi="Calibri"/>
                <w:color w:val="000000"/>
              </w:rPr>
            </w:pPr>
            <w:r>
              <w:rPr>
                <w:rFonts w:ascii="Calibri" w:hAnsi="Calibri"/>
                <w:color w:val="000000"/>
              </w:rPr>
              <w:t>LSU</w:t>
            </w:r>
          </w:p>
        </w:tc>
      </w:tr>
      <w:tr w:rsidR="004A5CC1" w14:paraId="53773DD2" w14:textId="77777777" w:rsidTr="002C7D80">
        <w:tc>
          <w:tcPr>
            <w:tcW w:w="625" w:type="dxa"/>
            <w:vAlign w:val="center"/>
          </w:tcPr>
          <w:p w14:paraId="1B39C5A3" w14:textId="34654BEF" w:rsidR="004A5CC1" w:rsidRDefault="004A5CC1" w:rsidP="002C7D80">
            <w:pPr>
              <w:spacing w:line="360" w:lineRule="auto"/>
              <w:jc w:val="right"/>
              <w:rPr>
                <w:rFonts w:ascii="Calibri" w:hAnsi="Calibri"/>
                <w:color w:val="000000"/>
              </w:rPr>
            </w:pPr>
            <w:r>
              <w:rPr>
                <w:rFonts w:ascii="Calibri" w:hAnsi="Calibri"/>
                <w:color w:val="000000"/>
              </w:rPr>
              <w:t>5</w:t>
            </w:r>
          </w:p>
        </w:tc>
        <w:tc>
          <w:tcPr>
            <w:tcW w:w="4362" w:type="dxa"/>
            <w:vAlign w:val="center"/>
          </w:tcPr>
          <w:p w14:paraId="125FB9F0" w14:textId="77777777" w:rsidR="004A5CC1" w:rsidRDefault="004A5CC1" w:rsidP="002C7D80">
            <w:pPr>
              <w:spacing w:line="360" w:lineRule="auto"/>
              <w:rPr>
                <w:rFonts w:ascii="Calibri" w:hAnsi="Calibri"/>
                <w:color w:val="000000"/>
              </w:rPr>
            </w:pPr>
            <w:proofErr w:type="spellStart"/>
            <w:r>
              <w:rPr>
                <w:rFonts w:ascii="Calibri" w:hAnsi="Calibri"/>
                <w:color w:val="000000"/>
              </w:rPr>
              <w:t>Munisamy</w:t>
            </w:r>
            <w:proofErr w:type="spellEnd"/>
            <w:r>
              <w:rPr>
                <w:rFonts w:ascii="Calibri" w:hAnsi="Calibri"/>
                <w:color w:val="000000"/>
              </w:rPr>
              <w:t xml:space="preserve">, </w:t>
            </w:r>
            <w:proofErr w:type="spellStart"/>
            <w:r>
              <w:rPr>
                <w:rFonts w:ascii="Calibri" w:hAnsi="Calibri"/>
                <w:color w:val="000000"/>
              </w:rPr>
              <w:t>Gopinath</w:t>
            </w:r>
            <w:proofErr w:type="spellEnd"/>
          </w:p>
        </w:tc>
        <w:tc>
          <w:tcPr>
            <w:tcW w:w="4363" w:type="dxa"/>
            <w:vAlign w:val="center"/>
          </w:tcPr>
          <w:p w14:paraId="7D6CD6BE" w14:textId="77777777" w:rsidR="004A5CC1" w:rsidRDefault="004A5CC1" w:rsidP="002C7D80">
            <w:pPr>
              <w:spacing w:line="360" w:lineRule="auto"/>
              <w:rPr>
                <w:rFonts w:ascii="Calibri" w:hAnsi="Calibri"/>
                <w:color w:val="000000"/>
              </w:rPr>
            </w:pPr>
            <w:r>
              <w:rPr>
                <w:rFonts w:ascii="Calibri" w:hAnsi="Calibri"/>
                <w:color w:val="000000"/>
              </w:rPr>
              <w:t>University of Georgia</w:t>
            </w:r>
          </w:p>
        </w:tc>
      </w:tr>
      <w:tr w:rsidR="004A5CC1" w14:paraId="7AB713B8" w14:textId="77777777" w:rsidTr="002C7D80">
        <w:tc>
          <w:tcPr>
            <w:tcW w:w="625" w:type="dxa"/>
            <w:vAlign w:val="center"/>
          </w:tcPr>
          <w:p w14:paraId="208B7270" w14:textId="6F4DF3FA" w:rsidR="004A5CC1" w:rsidRDefault="004A5CC1" w:rsidP="002C7D80">
            <w:pPr>
              <w:spacing w:line="360" w:lineRule="auto"/>
              <w:jc w:val="right"/>
              <w:rPr>
                <w:rFonts w:ascii="Calibri" w:hAnsi="Calibri"/>
                <w:color w:val="000000"/>
              </w:rPr>
            </w:pPr>
            <w:r>
              <w:rPr>
                <w:rFonts w:ascii="Calibri" w:hAnsi="Calibri"/>
                <w:color w:val="000000"/>
              </w:rPr>
              <w:t>6</w:t>
            </w:r>
          </w:p>
        </w:tc>
        <w:tc>
          <w:tcPr>
            <w:tcW w:w="4362" w:type="dxa"/>
            <w:vAlign w:val="center"/>
          </w:tcPr>
          <w:p w14:paraId="20B201AA" w14:textId="77777777" w:rsidR="004A5CC1" w:rsidRDefault="004A5CC1" w:rsidP="002C7D80">
            <w:pPr>
              <w:spacing w:line="360" w:lineRule="auto"/>
              <w:rPr>
                <w:rFonts w:ascii="Calibri" w:hAnsi="Calibri"/>
                <w:color w:val="000000"/>
              </w:rPr>
            </w:pPr>
            <w:proofErr w:type="spellStart"/>
            <w:r>
              <w:rPr>
                <w:rFonts w:ascii="Calibri" w:hAnsi="Calibri"/>
                <w:color w:val="000000"/>
              </w:rPr>
              <w:t>Nogueira</w:t>
            </w:r>
            <w:proofErr w:type="spellEnd"/>
            <w:r>
              <w:rPr>
                <w:rFonts w:ascii="Calibri" w:hAnsi="Calibri"/>
                <w:color w:val="000000"/>
              </w:rPr>
              <w:t>, Lia</w:t>
            </w:r>
          </w:p>
        </w:tc>
        <w:tc>
          <w:tcPr>
            <w:tcW w:w="4363" w:type="dxa"/>
            <w:vAlign w:val="center"/>
          </w:tcPr>
          <w:p w14:paraId="67F69B77" w14:textId="77777777" w:rsidR="004A5CC1" w:rsidRDefault="004A5CC1" w:rsidP="002C7D80">
            <w:pPr>
              <w:spacing w:line="360" w:lineRule="auto"/>
              <w:rPr>
                <w:rFonts w:ascii="Calibri" w:hAnsi="Calibri"/>
                <w:color w:val="000000"/>
              </w:rPr>
            </w:pPr>
            <w:r>
              <w:rPr>
                <w:rFonts w:ascii="Calibri" w:hAnsi="Calibri"/>
                <w:color w:val="000000"/>
              </w:rPr>
              <w:t>University of Nebraska</w:t>
            </w:r>
          </w:p>
        </w:tc>
      </w:tr>
      <w:tr w:rsidR="004A5CC1" w14:paraId="550C84EC" w14:textId="77777777" w:rsidTr="002C7D80">
        <w:tc>
          <w:tcPr>
            <w:tcW w:w="625" w:type="dxa"/>
            <w:vAlign w:val="center"/>
          </w:tcPr>
          <w:p w14:paraId="5C7C84D6" w14:textId="1450719A" w:rsidR="004A5CC1" w:rsidRDefault="004A5CC1" w:rsidP="002C7D80">
            <w:pPr>
              <w:spacing w:line="360" w:lineRule="auto"/>
              <w:jc w:val="right"/>
              <w:rPr>
                <w:rFonts w:ascii="Calibri" w:hAnsi="Calibri"/>
                <w:color w:val="000000"/>
              </w:rPr>
            </w:pPr>
            <w:r>
              <w:rPr>
                <w:rFonts w:ascii="Calibri" w:hAnsi="Calibri"/>
                <w:color w:val="000000"/>
              </w:rPr>
              <w:t>7</w:t>
            </w:r>
          </w:p>
        </w:tc>
        <w:tc>
          <w:tcPr>
            <w:tcW w:w="4362" w:type="dxa"/>
            <w:vAlign w:val="center"/>
          </w:tcPr>
          <w:p w14:paraId="3000DD7C" w14:textId="77777777" w:rsidR="004A5CC1" w:rsidRDefault="004A5CC1" w:rsidP="002C7D80">
            <w:pPr>
              <w:spacing w:line="360" w:lineRule="auto"/>
              <w:rPr>
                <w:rFonts w:ascii="Calibri" w:hAnsi="Calibri"/>
                <w:color w:val="000000"/>
              </w:rPr>
            </w:pPr>
            <w:r>
              <w:rPr>
                <w:rFonts w:ascii="Calibri" w:hAnsi="Calibri"/>
                <w:color w:val="000000"/>
              </w:rPr>
              <w:t>Ortega, David</w:t>
            </w:r>
          </w:p>
        </w:tc>
        <w:tc>
          <w:tcPr>
            <w:tcW w:w="4363" w:type="dxa"/>
            <w:vAlign w:val="center"/>
          </w:tcPr>
          <w:p w14:paraId="2C3DAC6C" w14:textId="77777777" w:rsidR="004A5CC1" w:rsidRDefault="004A5CC1" w:rsidP="002C7D80">
            <w:pPr>
              <w:spacing w:line="360" w:lineRule="auto"/>
              <w:rPr>
                <w:rFonts w:ascii="Calibri" w:hAnsi="Calibri"/>
                <w:color w:val="000000"/>
              </w:rPr>
            </w:pPr>
            <w:r>
              <w:rPr>
                <w:rFonts w:ascii="Calibri" w:hAnsi="Calibri"/>
                <w:color w:val="000000"/>
              </w:rPr>
              <w:t>Michigan State University</w:t>
            </w:r>
          </w:p>
        </w:tc>
      </w:tr>
      <w:tr w:rsidR="004A5CC1" w14:paraId="7FB5E978" w14:textId="77777777" w:rsidTr="002C7D80">
        <w:tc>
          <w:tcPr>
            <w:tcW w:w="625" w:type="dxa"/>
            <w:vAlign w:val="center"/>
          </w:tcPr>
          <w:p w14:paraId="5C543BD5" w14:textId="5ACD4995" w:rsidR="004A5CC1" w:rsidRDefault="004A5CC1" w:rsidP="002C7D80">
            <w:pPr>
              <w:spacing w:line="360" w:lineRule="auto"/>
              <w:jc w:val="right"/>
              <w:rPr>
                <w:rFonts w:ascii="Calibri" w:hAnsi="Calibri"/>
                <w:color w:val="000000"/>
              </w:rPr>
            </w:pPr>
            <w:r>
              <w:rPr>
                <w:rFonts w:ascii="Calibri" w:hAnsi="Calibri"/>
                <w:color w:val="000000"/>
              </w:rPr>
              <w:t>8</w:t>
            </w:r>
          </w:p>
        </w:tc>
        <w:tc>
          <w:tcPr>
            <w:tcW w:w="4362" w:type="dxa"/>
            <w:vAlign w:val="center"/>
          </w:tcPr>
          <w:p w14:paraId="26883C03" w14:textId="77777777" w:rsidR="004A5CC1" w:rsidRDefault="004A5CC1" w:rsidP="002C7D80">
            <w:pPr>
              <w:spacing w:line="360" w:lineRule="auto"/>
              <w:rPr>
                <w:rFonts w:ascii="Calibri" w:hAnsi="Calibri"/>
                <w:color w:val="000000"/>
              </w:rPr>
            </w:pPr>
            <w:r>
              <w:rPr>
                <w:rFonts w:ascii="Calibri" w:hAnsi="Calibri"/>
                <w:color w:val="000000"/>
              </w:rPr>
              <w:t>Ribera, Luis</w:t>
            </w:r>
          </w:p>
        </w:tc>
        <w:tc>
          <w:tcPr>
            <w:tcW w:w="4363" w:type="dxa"/>
            <w:vAlign w:val="center"/>
          </w:tcPr>
          <w:p w14:paraId="53730C91" w14:textId="77777777" w:rsidR="004A5CC1" w:rsidRDefault="004A5CC1" w:rsidP="002C7D80">
            <w:pPr>
              <w:spacing w:line="360" w:lineRule="auto"/>
              <w:rPr>
                <w:rFonts w:ascii="Calibri" w:hAnsi="Calibri"/>
                <w:color w:val="000000"/>
              </w:rPr>
            </w:pPr>
            <w:r>
              <w:rPr>
                <w:rFonts w:ascii="Calibri" w:hAnsi="Calibri"/>
                <w:color w:val="000000"/>
              </w:rPr>
              <w:t>Texas A&amp;M</w:t>
            </w:r>
          </w:p>
        </w:tc>
      </w:tr>
      <w:tr w:rsidR="004A5CC1" w14:paraId="5B13BD51" w14:textId="77777777" w:rsidTr="002C7D80">
        <w:tc>
          <w:tcPr>
            <w:tcW w:w="625" w:type="dxa"/>
            <w:vAlign w:val="center"/>
          </w:tcPr>
          <w:p w14:paraId="00CA95C9" w14:textId="4FE124DB" w:rsidR="004A5CC1" w:rsidRDefault="004A5CC1" w:rsidP="002C7D80">
            <w:pPr>
              <w:spacing w:line="360" w:lineRule="auto"/>
              <w:jc w:val="right"/>
              <w:rPr>
                <w:rFonts w:ascii="Calibri" w:hAnsi="Calibri"/>
                <w:color w:val="000000"/>
              </w:rPr>
            </w:pPr>
            <w:r>
              <w:rPr>
                <w:rFonts w:ascii="Calibri" w:hAnsi="Calibri"/>
                <w:color w:val="000000"/>
              </w:rPr>
              <w:t>9</w:t>
            </w:r>
          </w:p>
        </w:tc>
        <w:tc>
          <w:tcPr>
            <w:tcW w:w="4362" w:type="dxa"/>
            <w:vAlign w:val="center"/>
          </w:tcPr>
          <w:p w14:paraId="76E0F6CA" w14:textId="77777777" w:rsidR="004A5CC1" w:rsidRDefault="004A5CC1" w:rsidP="002C7D80">
            <w:pPr>
              <w:spacing w:line="360" w:lineRule="auto"/>
              <w:rPr>
                <w:rFonts w:ascii="Calibri" w:hAnsi="Calibri"/>
                <w:color w:val="000000"/>
              </w:rPr>
            </w:pPr>
            <w:r>
              <w:rPr>
                <w:rFonts w:ascii="Calibri" w:hAnsi="Calibri"/>
                <w:color w:val="000000"/>
              </w:rPr>
              <w:t>Schmitz, Andrew</w:t>
            </w:r>
          </w:p>
        </w:tc>
        <w:tc>
          <w:tcPr>
            <w:tcW w:w="4363" w:type="dxa"/>
            <w:vAlign w:val="center"/>
          </w:tcPr>
          <w:p w14:paraId="2F689B1F" w14:textId="77777777" w:rsidR="004A5CC1" w:rsidRDefault="004A5CC1" w:rsidP="002C7D80">
            <w:pPr>
              <w:spacing w:line="360" w:lineRule="auto"/>
              <w:rPr>
                <w:rFonts w:ascii="Calibri" w:hAnsi="Calibri"/>
                <w:color w:val="000000"/>
              </w:rPr>
            </w:pPr>
            <w:r>
              <w:rPr>
                <w:rFonts w:ascii="Calibri" w:hAnsi="Calibri"/>
                <w:color w:val="000000"/>
              </w:rPr>
              <w:t>University of Florida</w:t>
            </w:r>
          </w:p>
        </w:tc>
      </w:tr>
      <w:tr w:rsidR="004A5CC1" w14:paraId="66EF9544" w14:textId="77777777" w:rsidTr="002C7D80">
        <w:tc>
          <w:tcPr>
            <w:tcW w:w="625" w:type="dxa"/>
            <w:vAlign w:val="center"/>
          </w:tcPr>
          <w:p w14:paraId="1F52AA17" w14:textId="0D4EDF27" w:rsidR="004A5CC1" w:rsidRDefault="004A5CC1" w:rsidP="002C7D80">
            <w:pPr>
              <w:spacing w:line="360" w:lineRule="auto"/>
              <w:jc w:val="right"/>
              <w:rPr>
                <w:rFonts w:ascii="Calibri" w:hAnsi="Calibri"/>
                <w:color w:val="000000"/>
              </w:rPr>
            </w:pPr>
            <w:r>
              <w:rPr>
                <w:rFonts w:ascii="Calibri" w:hAnsi="Calibri"/>
                <w:color w:val="000000"/>
              </w:rPr>
              <w:t>10</w:t>
            </w:r>
          </w:p>
        </w:tc>
        <w:tc>
          <w:tcPr>
            <w:tcW w:w="4362" w:type="dxa"/>
            <w:vAlign w:val="center"/>
          </w:tcPr>
          <w:p w14:paraId="4153E9C8" w14:textId="77777777" w:rsidR="004A5CC1" w:rsidRDefault="004A5CC1" w:rsidP="002C7D80">
            <w:pPr>
              <w:spacing w:line="360" w:lineRule="auto"/>
              <w:rPr>
                <w:rFonts w:ascii="Calibri" w:hAnsi="Calibri"/>
                <w:color w:val="000000"/>
              </w:rPr>
            </w:pPr>
            <w:r>
              <w:rPr>
                <w:rFonts w:ascii="Calibri" w:hAnsi="Calibri"/>
                <w:color w:val="000000"/>
              </w:rPr>
              <w:t>Seale, Jim</w:t>
            </w:r>
          </w:p>
        </w:tc>
        <w:tc>
          <w:tcPr>
            <w:tcW w:w="4363" w:type="dxa"/>
            <w:vAlign w:val="center"/>
          </w:tcPr>
          <w:p w14:paraId="4B3C64B0" w14:textId="77777777" w:rsidR="004A5CC1" w:rsidRDefault="004A5CC1" w:rsidP="002C7D80">
            <w:pPr>
              <w:spacing w:line="360" w:lineRule="auto"/>
              <w:rPr>
                <w:rFonts w:ascii="Calibri" w:hAnsi="Calibri"/>
                <w:color w:val="000000"/>
              </w:rPr>
            </w:pPr>
            <w:r>
              <w:rPr>
                <w:rFonts w:ascii="Calibri" w:hAnsi="Calibri"/>
                <w:color w:val="000000"/>
              </w:rPr>
              <w:t>University of Florida</w:t>
            </w:r>
          </w:p>
        </w:tc>
      </w:tr>
      <w:tr w:rsidR="004A5CC1" w14:paraId="6726400F" w14:textId="77777777" w:rsidTr="002C7D80">
        <w:tc>
          <w:tcPr>
            <w:tcW w:w="625" w:type="dxa"/>
            <w:vAlign w:val="center"/>
          </w:tcPr>
          <w:p w14:paraId="103E5009" w14:textId="6A48E547" w:rsidR="004A5CC1" w:rsidRDefault="004A5CC1" w:rsidP="002C7D80">
            <w:pPr>
              <w:spacing w:line="360" w:lineRule="auto"/>
              <w:jc w:val="right"/>
              <w:rPr>
                <w:rFonts w:ascii="Calibri" w:hAnsi="Calibri"/>
                <w:color w:val="000000"/>
              </w:rPr>
            </w:pPr>
            <w:r>
              <w:rPr>
                <w:rFonts w:ascii="Calibri" w:hAnsi="Calibri"/>
                <w:color w:val="000000"/>
              </w:rPr>
              <w:t>11</w:t>
            </w:r>
          </w:p>
        </w:tc>
        <w:tc>
          <w:tcPr>
            <w:tcW w:w="4362" w:type="dxa"/>
            <w:vAlign w:val="center"/>
          </w:tcPr>
          <w:p w14:paraId="41912630" w14:textId="77777777" w:rsidR="004A5CC1" w:rsidRDefault="004A5CC1" w:rsidP="002C7D80">
            <w:pPr>
              <w:spacing w:line="360" w:lineRule="auto"/>
              <w:rPr>
                <w:rFonts w:ascii="Calibri" w:hAnsi="Calibri"/>
                <w:color w:val="000000"/>
              </w:rPr>
            </w:pPr>
            <w:r>
              <w:rPr>
                <w:rFonts w:ascii="Calibri" w:hAnsi="Calibri"/>
                <w:color w:val="000000"/>
              </w:rPr>
              <w:t>Sheldon, Ian</w:t>
            </w:r>
          </w:p>
        </w:tc>
        <w:tc>
          <w:tcPr>
            <w:tcW w:w="4363" w:type="dxa"/>
            <w:vAlign w:val="center"/>
          </w:tcPr>
          <w:p w14:paraId="7872CCC3" w14:textId="77777777" w:rsidR="004A5CC1" w:rsidRDefault="004A5CC1" w:rsidP="002C7D80">
            <w:pPr>
              <w:spacing w:line="360" w:lineRule="auto"/>
              <w:rPr>
                <w:rFonts w:ascii="Calibri" w:hAnsi="Calibri"/>
                <w:color w:val="000000"/>
              </w:rPr>
            </w:pPr>
            <w:r>
              <w:rPr>
                <w:rFonts w:ascii="Calibri" w:hAnsi="Calibri"/>
                <w:color w:val="000000"/>
              </w:rPr>
              <w:t>The Ohio State University</w:t>
            </w:r>
          </w:p>
        </w:tc>
      </w:tr>
      <w:tr w:rsidR="004A5CC1" w14:paraId="3517EA90" w14:textId="77777777" w:rsidTr="002C7D80">
        <w:tc>
          <w:tcPr>
            <w:tcW w:w="625" w:type="dxa"/>
            <w:vAlign w:val="center"/>
          </w:tcPr>
          <w:p w14:paraId="41747CF4" w14:textId="2B494C61" w:rsidR="004A5CC1" w:rsidRDefault="004A5CC1" w:rsidP="002C7D80">
            <w:pPr>
              <w:spacing w:line="360" w:lineRule="auto"/>
              <w:jc w:val="right"/>
              <w:rPr>
                <w:rFonts w:ascii="Calibri" w:hAnsi="Calibri"/>
                <w:color w:val="000000"/>
              </w:rPr>
            </w:pPr>
            <w:r>
              <w:rPr>
                <w:rFonts w:ascii="Calibri" w:hAnsi="Calibri"/>
                <w:color w:val="000000"/>
              </w:rPr>
              <w:t>12</w:t>
            </w:r>
          </w:p>
        </w:tc>
        <w:tc>
          <w:tcPr>
            <w:tcW w:w="4362" w:type="dxa"/>
            <w:vAlign w:val="center"/>
          </w:tcPr>
          <w:p w14:paraId="2CEA7FFF" w14:textId="77777777" w:rsidR="004A5CC1" w:rsidRDefault="004A5CC1" w:rsidP="002C7D80">
            <w:pPr>
              <w:spacing w:line="360" w:lineRule="auto"/>
              <w:rPr>
                <w:rFonts w:ascii="Calibri" w:hAnsi="Calibri"/>
                <w:color w:val="000000"/>
              </w:rPr>
            </w:pPr>
            <w:r>
              <w:rPr>
                <w:rFonts w:ascii="Calibri" w:hAnsi="Calibri"/>
                <w:color w:val="000000"/>
              </w:rPr>
              <w:t>Steinbach, Sandro</w:t>
            </w:r>
          </w:p>
        </w:tc>
        <w:tc>
          <w:tcPr>
            <w:tcW w:w="4363" w:type="dxa"/>
            <w:vAlign w:val="center"/>
          </w:tcPr>
          <w:p w14:paraId="3B3D2DEF" w14:textId="77777777" w:rsidR="004A5CC1" w:rsidRDefault="004A5CC1" w:rsidP="002C7D80">
            <w:pPr>
              <w:spacing w:line="360" w:lineRule="auto"/>
              <w:rPr>
                <w:rFonts w:ascii="Calibri" w:hAnsi="Calibri"/>
                <w:color w:val="000000"/>
              </w:rPr>
            </w:pPr>
            <w:r>
              <w:rPr>
                <w:rFonts w:ascii="Calibri" w:hAnsi="Calibri"/>
                <w:color w:val="000000"/>
              </w:rPr>
              <w:t>University of Connecticut</w:t>
            </w:r>
          </w:p>
        </w:tc>
      </w:tr>
      <w:tr w:rsidR="004A5CC1" w14:paraId="30349D9E" w14:textId="77777777" w:rsidTr="002C7D80">
        <w:tc>
          <w:tcPr>
            <w:tcW w:w="625" w:type="dxa"/>
            <w:vAlign w:val="center"/>
          </w:tcPr>
          <w:p w14:paraId="718E6DC0" w14:textId="50C8262C" w:rsidR="004A5CC1" w:rsidRDefault="004A5CC1" w:rsidP="002C7D80">
            <w:pPr>
              <w:spacing w:line="360" w:lineRule="auto"/>
              <w:jc w:val="right"/>
              <w:rPr>
                <w:rFonts w:ascii="Calibri" w:hAnsi="Calibri"/>
                <w:color w:val="000000"/>
              </w:rPr>
            </w:pPr>
            <w:r>
              <w:rPr>
                <w:rFonts w:ascii="Calibri" w:hAnsi="Calibri"/>
                <w:color w:val="000000"/>
              </w:rPr>
              <w:t>13</w:t>
            </w:r>
          </w:p>
        </w:tc>
        <w:tc>
          <w:tcPr>
            <w:tcW w:w="4362" w:type="dxa"/>
            <w:vAlign w:val="center"/>
          </w:tcPr>
          <w:p w14:paraId="00155DFC" w14:textId="77777777" w:rsidR="004A5CC1" w:rsidRDefault="004A5CC1" w:rsidP="002C7D80">
            <w:pPr>
              <w:spacing w:line="360" w:lineRule="auto"/>
              <w:rPr>
                <w:rFonts w:ascii="Calibri" w:hAnsi="Calibri"/>
                <w:color w:val="000000"/>
              </w:rPr>
            </w:pPr>
            <w:r>
              <w:rPr>
                <w:rFonts w:ascii="Calibri" w:hAnsi="Calibri"/>
                <w:color w:val="000000"/>
              </w:rPr>
              <w:t>Whistance, Jarrett</w:t>
            </w:r>
          </w:p>
        </w:tc>
        <w:tc>
          <w:tcPr>
            <w:tcW w:w="4363" w:type="dxa"/>
            <w:vAlign w:val="center"/>
          </w:tcPr>
          <w:p w14:paraId="4EC32A25" w14:textId="77777777" w:rsidR="004A5CC1" w:rsidRDefault="004A5CC1" w:rsidP="002C7D80">
            <w:pPr>
              <w:spacing w:line="360" w:lineRule="auto"/>
              <w:rPr>
                <w:rFonts w:ascii="Calibri" w:hAnsi="Calibri"/>
                <w:color w:val="000000"/>
              </w:rPr>
            </w:pPr>
            <w:r>
              <w:rPr>
                <w:rFonts w:ascii="Calibri" w:hAnsi="Calibri"/>
                <w:color w:val="000000"/>
              </w:rPr>
              <w:t>University of Missouri</w:t>
            </w:r>
          </w:p>
        </w:tc>
      </w:tr>
      <w:tr w:rsidR="004A5CC1" w14:paraId="78D91685" w14:textId="77777777" w:rsidTr="002C7D80">
        <w:tc>
          <w:tcPr>
            <w:tcW w:w="625" w:type="dxa"/>
            <w:vAlign w:val="center"/>
          </w:tcPr>
          <w:p w14:paraId="6D8F8525" w14:textId="61A6F0B6" w:rsidR="004A5CC1" w:rsidRDefault="004A5CC1" w:rsidP="002C7D80">
            <w:pPr>
              <w:spacing w:line="360" w:lineRule="auto"/>
              <w:jc w:val="right"/>
              <w:rPr>
                <w:rFonts w:ascii="Calibri" w:hAnsi="Calibri"/>
                <w:color w:val="000000"/>
              </w:rPr>
            </w:pPr>
            <w:r>
              <w:rPr>
                <w:rFonts w:ascii="Calibri" w:hAnsi="Calibri"/>
                <w:color w:val="000000"/>
              </w:rPr>
              <w:t>14</w:t>
            </w:r>
          </w:p>
        </w:tc>
        <w:tc>
          <w:tcPr>
            <w:tcW w:w="4362" w:type="dxa"/>
            <w:vAlign w:val="center"/>
          </w:tcPr>
          <w:p w14:paraId="35F3D8F9" w14:textId="77777777" w:rsidR="004A5CC1" w:rsidRDefault="004A5CC1" w:rsidP="002C7D80">
            <w:pPr>
              <w:spacing w:line="360" w:lineRule="auto"/>
              <w:rPr>
                <w:rFonts w:ascii="Calibri" w:hAnsi="Calibri"/>
                <w:color w:val="000000"/>
              </w:rPr>
            </w:pPr>
            <w:r>
              <w:rPr>
                <w:rFonts w:ascii="Calibri" w:hAnsi="Calibri"/>
                <w:color w:val="000000"/>
              </w:rPr>
              <w:t>Wahl, Tom</w:t>
            </w:r>
          </w:p>
        </w:tc>
        <w:tc>
          <w:tcPr>
            <w:tcW w:w="4363" w:type="dxa"/>
            <w:vAlign w:val="center"/>
          </w:tcPr>
          <w:p w14:paraId="66D79E19" w14:textId="77777777" w:rsidR="004A5CC1" w:rsidRDefault="004A5CC1" w:rsidP="002C7D80">
            <w:pPr>
              <w:spacing w:line="360" w:lineRule="auto"/>
              <w:rPr>
                <w:rFonts w:ascii="Calibri" w:hAnsi="Calibri"/>
                <w:color w:val="000000"/>
              </w:rPr>
            </w:pPr>
            <w:r>
              <w:rPr>
                <w:rFonts w:ascii="Calibri" w:hAnsi="Calibri"/>
                <w:color w:val="000000"/>
              </w:rPr>
              <w:t>NDSU</w:t>
            </w:r>
          </w:p>
        </w:tc>
      </w:tr>
      <w:tr w:rsidR="004A5CC1" w14:paraId="21BCCC7F" w14:textId="77777777" w:rsidTr="002C7D80">
        <w:tc>
          <w:tcPr>
            <w:tcW w:w="625" w:type="dxa"/>
            <w:vAlign w:val="center"/>
          </w:tcPr>
          <w:p w14:paraId="3B41ECAB" w14:textId="699E729C" w:rsidR="004A5CC1" w:rsidRDefault="004A5CC1" w:rsidP="002C7D80">
            <w:pPr>
              <w:spacing w:line="360" w:lineRule="auto"/>
              <w:jc w:val="right"/>
              <w:rPr>
                <w:rFonts w:ascii="Calibri" w:hAnsi="Calibri"/>
                <w:color w:val="000000"/>
              </w:rPr>
            </w:pPr>
            <w:r>
              <w:rPr>
                <w:rFonts w:ascii="Calibri" w:hAnsi="Calibri"/>
                <w:color w:val="000000"/>
              </w:rPr>
              <w:t>15</w:t>
            </w:r>
          </w:p>
        </w:tc>
        <w:tc>
          <w:tcPr>
            <w:tcW w:w="4362" w:type="dxa"/>
            <w:vAlign w:val="center"/>
          </w:tcPr>
          <w:p w14:paraId="6B213BCD" w14:textId="77777777" w:rsidR="004A5CC1" w:rsidRDefault="004A5CC1" w:rsidP="002C7D80">
            <w:pPr>
              <w:spacing w:line="360" w:lineRule="auto"/>
              <w:rPr>
                <w:rFonts w:ascii="Calibri" w:hAnsi="Calibri"/>
                <w:color w:val="000000"/>
              </w:rPr>
            </w:pPr>
            <w:proofErr w:type="spellStart"/>
            <w:r w:rsidRPr="00F73726">
              <w:rPr>
                <w:rFonts w:ascii="Calibri" w:hAnsi="Calibri"/>
                <w:color w:val="000000"/>
              </w:rPr>
              <w:t>Yeboah</w:t>
            </w:r>
            <w:proofErr w:type="spellEnd"/>
            <w:r>
              <w:rPr>
                <w:rFonts w:ascii="Calibri" w:hAnsi="Calibri"/>
                <w:color w:val="000000"/>
              </w:rPr>
              <w:t xml:space="preserve">, </w:t>
            </w:r>
            <w:proofErr w:type="spellStart"/>
            <w:r>
              <w:rPr>
                <w:rFonts w:ascii="Calibri" w:hAnsi="Calibri"/>
                <w:color w:val="000000"/>
              </w:rPr>
              <w:t>Osei</w:t>
            </w:r>
            <w:proofErr w:type="spellEnd"/>
          </w:p>
        </w:tc>
        <w:tc>
          <w:tcPr>
            <w:tcW w:w="4363" w:type="dxa"/>
            <w:vAlign w:val="center"/>
          </w:tcPr>
          <w:p w14:paraId="750025F3" w14:textId="77777777" w:rsidR="004A5CC1" w:rsidRDefault="004A5CC1" w:rsidP="002C7D80">
            <w:pPr>
              <w:spacing w:line="360" w:lineRule="auto"/>
              <w:rPr>
                <w:rFonts w:ascii="Calibri" w:hAnsi="Calibri"/>
                <w:color w:val="000000"/>
              </w:rPr>
            </w:pPr>
            <w:r>
              <w:rPr>
                <w:rFonts w:ascii="Calibri" w:hAnsi="Calibri"/>
                <w:color w:val="000000"/>
              </w:rPr>
              <w:t>North Carolina A&amp;T</w:t>
            </w:r>
          </w:p>
        </w:tc>
      </w:tr>
      <w:tr w:rsidR="004A5CC1" w14:paraId="32560985" w14:textId="77777777" w:rsidTr="002C7D80">
        <w:tc>
          <w:tcPr>
            <w:tcW w:w="625" w:type="dxa"/>
            <w:vAlign w:val="center"/>
          </w:tcPr>
          <w:p w14:paraId="62FDE94B" w14:textId="09825DAA" w:rsidR="004A5CC1" w:rsidRDefault="004A5CC1" w:rsidP="002C7D80">
            <w:pPr>
              <w:spacing w:line="360" w:lineRule="auto"/>
              <w:jc w:val="right"/>
              <w:rPr>
                <w:rFonts w:ascii="Calibri" w:hAnsi="Calibri"/>
                <w:color w:val="000000"/>
              </w:rPr>
            </w:pPr>
            <w:r>
              <w:rPr>
                <w:rFonts w:ascii="Calibri" w:hAnsi="Calibri"/>
                <w:color w:val="000000"/>
              </w:rPr>
              <w:t>16</w:t>
            </w:r>
          </w:p>
        </w:tc>
        <w:tc>
          <w:tcPr>
            <w:tcW w:w="4362" w:type="dxa"/>
            <w:vAlign w:val="center"/>
          </w:tcPr>
          <w:p w14:paraId="41EBD530" w14:textId="77777777" w:rsidR="004A5CC1" w:rsidRDefault="004A5CC1" w:rsidP="002C7D80">
            <w:pPr>
              <w:spacing w:line="360" w:lineRule="auto"/>
              <w:rPr>
                <w:rFonts w:ascii="Calibri" w:hAnsi="Calibri"/>
                <w:color w:val="000000"/>
              </w:rPr>
            </w:pPr>
            <w:r>
              <w:rPr>
                <w:rFonts w:ascii="Calibri" w:hAnsi="Calibri"/>
                <w:color w:val="000000"/>
              </w:rPr>
              <w:t>Young, Eric</w:t>
            </w:r>
          </w:p>
        </w:tc>
        <w:tc>
          <w:tcPr>
            <w:tcW w:w="4363" w:type="dxa"/>
            <w:vAlign w:val="center"/>
          </w:tcPr>
          <w:p w14:paraId="0F5E5E58" w14:textId="77777777" w:rsidR="004A5CC1" w:rsidRDefault="004A5CC1" w:rsidP="002C7D80">
            <w:pPr>
              <w:spacing w:line="360" w:lineRule="auto"/>
              <w:rPr>
                <w:rFonts w:ascii="Calibri" w:hAnsi="Calibri"/>
                <w:color w:val="000000"/>
              </w:rPr>
            </w:pPr>
            <w:r>
              <w:rPr>
                <w:rFonts w:ascii="Calibri" w:hAnsi="Calibri"/>
                <w:color w:val="000000"/>
              </w:rPr>
              <w:t>NCSU</w:t>
            </w:r>
          </w:p>
        </w:tc>
      </w:tr>
      <w:tr w:rsidR="004A5CC1" w14:paraId="743FBA22" w14:textId="77777777" w:rsidTr="002C7D80">
        <w:tc>
          <w:tcPr>
            <w:tcW w:w="625" w:type="dxa"/>
            <w:vAlign w:val="center"/>
          </w:tcPr>
          <w:p w14:paraId="29B80BF5" w14:textId="36DAAB9F" w:rsidR="004A5CC1" w:rsidRDefault="004A5CC1" w:rsidP="002C7D80">
            <w:pPr>
              <w:spacing w:line="360" w:lineRule="auto"/>
              <w:jc w:val="right"/>
              <w:rPr>
                <w:rFonts w:ascii="Calibri" w:hAnsi="Calibri"/>
                <w:color w:val="000000"/>
              </w:rPr>
            </w:pPr>
            <w:r>
              <w:rPr>
                <w:rFonts w:ascii="Calibri" w:hAnsi="Calibri"/>
                <w:color w:val="000000"/>
              </w:rPr>
              <w:t>17</w:t>
            </w:r>
          </w:p>
        </w:tc>
        <w:tc>
          <w:tcPr>
            <w:tcW w:w="4362" w:type="dxa"/>
            <w:vAlign w:val="center"/>
          </w:tcPr>
          <w:p w14:paraId="14AF8B46" w14:textId="77777777" w:rsidR="004A5CC1" w:rsidRDefault="004A5CC1" w:rsidP="002C7D80">
            <w:pPr>
              <w:spacing w:line="360" w:lineRule="auto"/>
              <w:rPr>
                <w:rFonts w:ascii="Calibri" w:hAnsi="Calibri"/>
                <w:color w:val="000000"/>
              </w:rPr>
            </w:pPr>
            <w:r>
              <w:rPr>
                <w:rFonts w:ascii="Calibri" w:hAnsi="Calibri"/>
                <w:color w:val="000000"/>
              </w:rPr>
              <w:t>Zhang, Lisha</w:t>
            </w:r>
          </w:p>
        </w:tc>
        <w:tc>
          <w:tcPr>
            <w:tcW w:w="4363" w:type="dxa"/>
            <w:vAlign w:val="center"/>
          </w:tcPr>
          <w:p w14:paraId="2D7ECB08" w14:textId="77777777" w:rsidR="004A5CC1" w:rsidRDefault="004A5CC1" w:rsidP="002C7D80">
            <w:pPr>
              <w:spacing w:line="360" w:lineRule="auto"/>
              <w:rPr>
                <w:rFonts w:ascii="Calibri" w:hAnsi="Calibri"/>
                <w:color w:val="000000"/>
              </w:rPr>
            </w:pPr>
            <w:r>
              <w:rPr>
                <w:rFonts w:ascii="Calibri" w:hAnsi="Calibri"/>
                <w:color w:val="000000"/>
              </w:rPr>
              <w:t>Clemson University</w:t>
            </w:r>
          </w:p>
        </w:tc>
      </w:tr>
    </w:tbl>
    <w:p w14:paraId="72E1CD0B" w14:textId="3ED5917D" w:rsidR="004A5CC1" w:rsidRDefault="004A5CC1" w:rsidP="00A178FD">
      <w:pPr>
        <w:spacing w:line="480" w:lineRule="auto"/>
        <w:rPr>
          <w:rFonts w:asciiTheme="majorHAnsi" w:hAnsiTheme="majorHAnsi"/>
          <w:sz w:val="22"/>
          <w:szCs w:val="22"/>
        </w:rPr>
      </w:pPr>
      <w:r>
        <w:rPr>
          <w:rFonts w:asciiTheme="majorHAnsi" w:hAnsiTheme="majorHAnsi"/>
          <w:sz w:val="22"/>
          <w:szCs w:val="22"/>
        </w:rPr>
        <w:t xml:space="preserve">   </w:t>
      </w:r>
    </w:p>
    <w:p w14:paraId="2004CFD3" w14:textId="4164A484" w:rsidR="00006466" w:rsidRDefault="00006466" w:rsidP="00A178FD">
      <w:pPr>
        <w:spacing w:line="480" w:lineRule="auto"/>
        <w:rPr>
          <w:rFonts w:asciiTheme="majorHAnsi" w:hAnsiTheme="majorHAnsi"/>
          <w:sz w:val="22"/>
          <w:szCs w:val="22"/>
        </w:rPr>
      </w:pPr>
      <w:r>
        <w:rPr>
          <w:rFonts w:asciiTheme="majorHAnsi" w:hAnsiTheme="majorHAnsi"/>
          <w:sz w:val="22"/>
          <w:szCs w:val="22"/>
        </w:rPr>
        <w:t xml:space="preserve">Brief introduction of each participant, and welcome to the new participants Lia </w:t>
      </w:r>
      <w:proofErr w:type="spellStart"/>
      <w:r>
        <w:rPr>
          <w:rFonts w:asciiTheme="majorHAnsi" w:hAnsiTheme="majorHAnsi"/>
          <w:sz w:val="22"/>
          <w:szCs w:val="22"/>
        </w:rPr>
        <w:t>Nogueira</w:t>
      </w:r>
      <w:proofErr w:type="spellEnd"/>
      <w:r>
        <w:rPr>
          <w:rFonts w:asciiTheme="majorHAnsi" w:hAnsiTheme="majorHAnsi"/>
          <w:sz w:val="22"/>
          <w:szCs w:val="22"/>
        </w:rPr>
        <w:t xml:space="preserve">, David Ortega, Sandro Steinbach, and </w:t>
      </w:r>
      <w:r w:rsidRPr="00006466">
        <w:rPr>
          <w:rFonts w:asciiTheme="majorHAnsi" w:hAnsiTheme="majorHAnsi"/>
          <w:sz w:val="22"/>
          <w:szCs w:val="22"/>
        </w:rPr>
        <w:t>Lisha Zhang</w:t>
      </w:r>
      <w:r>
        <w:rPr>
          <w:rFonts w:asciiTheme="majorHAnsi" w:hAnsiTheme="majorHAnsi"/>
          <w:sz w:val="22"/>
          <w:szCs w:val="22"/>
        </w:rPr>
        <w:t>.</w:t>
      </w:r>
    </w:p>
    <w:p w14:paraId="48687B46" w14:textId="24CB22DA" w:rsidR="00006466" w:rsidRPr="00006466" w:rsidRDefault="00006466" w:rsidP="00A178FD">
      <w:pPr>
        <w:spacing w:line="480" w:lineRule="auto"/>
        <w:rPr>
          <w:rFonts w:asciiTheme="majorHAnsi" w:hAnsiTheme="majorHAnsi"/>
          <w:b/>
          <w:sz w:val="22"/>
          <w:szCs w:val="22"/>
        </w:rPr>
      </w:pPr>
      <w:r w:rsidRPr="00006466">
        <w:rPr>
          <w:rFonts w:asciiTheme="majorHAnsi" w:hAnsiTheme="majorHAnsi"/>
          <w:b/>
          <w:sz w:val="22"/>
          <w:szCs w:val="22"/>
        </w:rPr>
        <w:t>Welcoming comments by Eric Young</w:t>
      </w:r>
    </w:p>
    <w:p w14:paraId="513C462A" w14:textId="535FFF1F" w:rsidR="00AC01F5" w:rsidRDefault="00AC01F5" w:rsidP="00A178FD">
      <w:pPr>
        <w:spacing w:line="480" w:lineRule="auto"/>
        <w:rPr>
          <w:rFonts w:asciiTheme="majorHAnsi" w:hAnsiTheme="majorHAnsi"/>
          <w:sz w:val="22"/>
          <w:szCs w:val="22"/>
        </w:rPr>
      </w:pPr>
      <w:r>
        <w:rPr>
          <w:rFonts w:asciiTheme="majorHAnsi" w:hAnsiTheme="majorHAnsi"/>
          <w:sz w:val="22"/>
          <w:szCs w:val="22"/>
        </w:rPr>
        <w:t>Budget: Continuous resolution guarantees the budget. A</w:t>
      </w:r>
      <w:r w:rsidR="00006466">
        <w:rPr>
          <w:rFonts w:asciiTheme="majorHAnsi" w:hAnsiTheme="majorHAnsi"/>
          <w:sz w:val="22"/>
          <w:szCs w:val="22"/>
        </w:rPr>
        <w:t xml:space="preserve">gricultural </w:t>
      </w:r>
      <w:r>
        <w:rPr>
          <w:rFonts w:asciiTheme="majorHAnsi" w:hAnsiTheme="majorHAnsi"/>
          <w:sz w:val="22"/>
          <w:szCs w:val="22"/>
        </w:rPr>
        <w:t>budget has passed both committees. Increase HATCH funds in the House, left the same in the Senate. AFRI budget increased. America Growth Act proposes to increase the budget over the next 4 years. Goal to get AFRI to its authorization level ($700 million) in the next couple of years.</w:t>
      </w:r>
    </w:p>
    <w:p w14:paraId="296829E6" w14:textId="77777777" w:rsidR="005E0333" w:rsidRDefault="00AC01F5" w:rsidP="00A178FD">
      <w:pPr>
        <w:spacing w:line="480" w:lineRule="auto"/>
        <w:rPr>
          <w:rFonts w:asciiTheme="majorHAnsi" w:hAnsiTheme="majorHAnsi"/>
          <w:sz w:val="22"/>
          <w:szCs w:val="22"/>
        </w:rPr>
      </w:pPr>
      <w:r>
        <w:rPr>
          <w:rFonts w:asciiTheme="majorHAnsi" w:hAnsiTheme="majorHAnsi"/>
          <w:sz w:val="22"/>
          <w:szCs w:val="22"/>
        </w:rPr>
        <w:lastRenderedPageBreak/>
        <w:t>Trade and impeachment slow down the budget discussion. Expect the House to pass USMCA this year, and the Senate next year. Comments from the group is that USMCA is marginally better, almost status quo for agriculture except dairy trade with Canada.</w:t>
      </w:r>
      <w:r w:rsidR="005E0333">
        <w:rPr>
          <w:rFonts w:asciiTheme="majorHAnsi" w:hAnsiTheme="majorHAnsi"/>
          <w:sz w:val="22"/>
          <w:szCs w:val="22"/>
        </w:rPr>
        <w:t xml:space="preserve"> Low expectations to get the trade war with China solved this year, most likely </w:t>
      </w:r>
      <w:proofErr w:type="gramStart"/>
      <w:r w:rsidR="005E0333">
        <w:rPr>
          <w:rFonts w:asciiTheme="majorHAnsi" w:hAnsiTheme="majorHAnsi"/>
          <w:sz w:val="22"/>
          <w:szCs w:val="22"/>
        </w:rPr>
        <w:t>will be solved</w:t>
      </w:r>
      <w:proofErr w:type="gramEnd"/>
      <w:r w:rsidR="005E0333">
        <w:rPr>
          <w:rFonts w:asciiTheme="majorHAnsi" w:hAnsiTheme="majorHAnsi"/>
          <w:sz w:val="22"/>
          <w:szCs w:val="22"/>
        </w:rPr>
        <w:t xml:space="preserve"> before the election, sometimes during the summer.</w:t>
      </w:r>
    </w:p>
    <w:p w14:paraId="400C5FAF" w14:textId="2522B37E" w:rsidR="005E0333" w:rsidRDefault="005E0333" w:rsidP="00A178FD">
      <w:pPr>
        <w:spacing w:line="480" w:lineRule="auto"/>
        <w:rPr>
          <w:rFonts w:asciiTheme="majorHAnsi" w:hAnsiTheme="majorHAnsi"/>
          <w:sz w:val="22"/>
          <w:szCs w:val="22"/>
        </w:rPr>
      </w:pPr>
      <w:r>
        <w:rPr>
          <w:rFonts w:asciiTheme="majorHAnsi" w:hAnsiTheme="majorHAnsi"/>
          <w:sz w:val="22"/>
          <w:szCs w:val="22"/>
        </w:rPr>
        <w:t>NIFA’s move to Kansas City resulted in significant loss of jobs, primarily administrative and technical support personnel.</w:t>
      </w:r>
      <w:r w:rsidR="009D33EB">
        <w:rPr>
          <w:rFonts w:asciiTheme="majorHAnsi" w:hAnsiTheme="majorHAnsi"/>
          <w:sz w:val="22"/>
          <w:szCs w:val="22"/>
        </w:rPr>
        <w:t xml:space="preserve"> </w:t>
      </w:r>
    </w:p>
    <w:p w14:paraId="3F4CA4F1" w14:textId="7A60252F" w:rsidR="00DD0890" w:rsidRDefault="00DD0890" w:rsidP="00A178FD">
      <w:pPr>
        <w:spacing w:line="480" w:lineRule="auto"/>
        <w:rPr>
          <w:rFonts w:asciiTheme="majorHAnsi" w:hAnsiTheme="majorHAnsi"/>
          <w:sz w:val="22"/>
          <w:szCs w:val="22"/>
        </w:rPr>
      </w:pPr>
      <w:r>
        <w:rPr>
          <w:rFonts w:asciiTheme="majorHAnsi" w:hAnsiTheme="majorHAnsi"/>
          <w:sz w:val="22"/>
          <w:szCs w:val="22"/>
        </w:rPr>
        <w:t>Eric is retiring in the summer of 2020, so this may be his last meeting.</w:t>
      </w:r>
    </w:p>
    <w:p w14:paraId="79E38D18" w14:textId="0E359951" w:rsidR="00003BC7" w:rsidRDefault="00003BC7" w:rsidP="00A178FD">
      <w:pPr>
        <w:spacing w:line="480" w:lineRule="auto"/>
        <w:rPr>
          <w:rFonts w:asciiTheme="majorHAnsi" w:hAnsiTheme="majorHAnsi"/>
          <w:sz w:val="22"/>
          <w:szCs w:val="22"/>
        </w:rPr>
      </w:pPr>
      <w:r>
        <w:rPr>
          <w:rFonts w:asciiTheme="majorHAnsi" w:hAnsiTheme="majorHAnsi"/>
          <w:sz w:val="22"/>
          <w:szCs w:val="22"/>
        </w:rPr>
        <w:t xml:space="preserve">State reports were briefly presented. </w:t>
      </w:r>
      <w:r w:rsidR="00006466">
        <w:rPr>
          <w:rFonts w:asciiTheme="majorHAnsi" w:hAnsiTheme="majorHAnsi"/>
          <w:sz w:val="22"/>
          <w:szCs w:val="22"/>
        </w:rPr>
        <w:t xml:space="preserve">In </w:t>
      </w:r>
      <w:proofErr w:type="gramStart"/>
      <w:r w:rsidR="00006466">
        <w:rPr>
          <w:rFonts w:asciiTheme="majorHAnsi" w:hAnsiTheme="majorHAnsi"/>
          <w:sz w:val="22"/>
          <w:szCs w:val="22"/>
        </w:rPr>
        <w:t>general</w:t>
      </w:r>
      <w:proofErr w:type="gramEnd"/>
      <w:r w:rsidR="00006466">
        <w:rPr>
          <w:rFonts w:asciiTheme="majorHAnsi" w:hAnsiTheme="majorHAnsi"/>
          <w:sz w:val="22"/>
          <w:szCs w:val="22"/>
        </w:rPr>
        <w:t xml:space="preserve"> each participant stated their research priorities in the last year, and their research interests for the coming period.</w:t>
      </w:r>
    </w:p>
    <w:p w14:paraId="04314C86" w14:textId="77777777" w:rsidR="00006466" w:rsidRPr="00006466" w:rsidRDefault="0063023B" w:rsidP="00ED7AA2">
      <w:pPr>
        <w:spacing w:line="480" w:lineRule="auto"/>
        <w:rPr>
          <w:rFonts w:asciiTheme="majorHAnsi" w:hAnsiTheme="majorHAnsi"/>
          <w:b/>
          <w:sz w:val="22"/>
          <w:szCs w:val="22"/>
        </w:rPr>
      </w:pPr>
      <w:r w:rsidRPr="00006466">
        <w:rPr>
          <w:rFonts w:asciiTheme="majorHAnsi" w:hAnsiTheme="majorHAnsi"/>
          <w:b/>
          <w:sz w:val="22"/>
          <w:szCs w:val="22"/>
        </w:rPr>
        <w:t>Future collaborative efforts</w:t>
      </w:r>
    </w:p>
    <w:p w14:paraId="3E9BDA40" w14:textId="6408E5F8" w:rsidR="00E43635" w:rsidRDefault="00006466" w:rsidP="00ED7AA2">
      <w:pPr>
        <w:spacing w:line="480" w:lineRule="auto"/>
        <w:rPr>
          <w:rFonts w:asciiTheme="majorHAnsi" w:hAnsiTheme="majorHAnsi"/>
          <w:sz w:val="22"/>
          <w:szCs w:val="22"/>
        </w:rPr>
      </w:pPr>
      <w:r>
        <w:rPr>
          <w:rFonts w:asciiTheme="majorHAnsi" w:hAnsiTheme="majorHAnsi"/>
          <w:sz w:val="22"/>
          <w:szCs w:val="22"/>
        </w:rPr>
        <w:t>Most of the discussion focused on future collaborative efforts. One of the identified areas was writing</w:t>
      </w:r>
      <w:r w:rsidR="0063023B">
        <w:rPr>
          <w:rFonts w:asciiTheme="majorHAnsi" w:hAnsiTheme="majorHAnsi"/>
          <w:sz w:val="22"/>
          <w:szCs w:val="22"/>
        </w:rPr>
        <w:t xml:space="preserve"> an undergraduate book on </w:t>
      </w:r>
      <w:r w:rsidR="00C67662">
        <w:rPr>
          <w:rFonts w:asciiTheme="majorHAnsi" w:hAnsiTheme="majorHAnsi"/>
          <w:sz w:val="22"/>
          <w:szCs w:val="22"/>
        </w:rPr>
        <w:t xml:space="preserve">agricultural policy and </w:t>
      </w:r>
      <w:r w:rsidR="0063023B">
        <w:rPr>
          <w:rFonts w:asciiTheme="majorHAnsi" w:hAnsiTheme="majorHAnsi"/>
          <w:sz w:val="22"/>
          <w:szCs w:val="22"/>
        </w:rPr>
        <w:t>trade</w:t>
      </w:r>
      <w:r w:rsidR="00C67662">
        <w:rPr>
          <w:rFonts w:asciiTheme="majorHAnsi" w:hAnsiTheme="majorHAnsi"/>
          <w:sz w:val="22"/>
          <w:szCs w:val="22"/>
        </w:rPr>
        <w:t xml:space="preserve"> because there is not a good book right now in the market. Lynn will coordinate the initial efforts, and he wants to share with him some ideas on chapters we would like to write.</w:t>
      </w:r>
    </w:p>
    <w:p w14:paraId="4553D6A8" w14:textId="21D2E0C7" w:rsidR="00E00BDC" w:rsidRDefault="00874E02" w:rsidP="00ED7AA2">
      <w:pPr>
        <w:spacing w:line="480" w:lineRule="auto"/>
        <w:rPr>
          <w:rFonts w:asciiTheme="majorHAnsi" w:hAnsiTheme="majorHAnsi"/>
          <w:sz w:val="22"/>
          <w:szCs w:val="22"/>
        </w:rPr>
      </w:pPr>
      <w:r>
        <w:rPr>
          <w:rFonts w:asciiTheme="majorHAnsi" w:hAnsiTheme="majorHAnsi"/>
          <w:sz w:val="22"/>
          <w:szCs w:val="22"/>
        </w:rPr>
        <w:t xml:space="preserve">Another </w:t>
      </w:r>
      <w:r w:rsidR="00006466">
        <w:rPr>
          <w:rFonts w:asciiTheme="majorHAnsi" w:hAnsiTheme="majorHAnsi"/>
          <w:sz w:val="22"/>
          <w:szCs w:val="22"/>
        </w:rPr>
        <w:t xml:space="preserve">collaboration </w:t>
      </w:r>
      <w:r>
        <w:rPr>
          <w:rFonts w:asciiTheme="majorHAnsi" w:hAnsiTheme="majorHAnsi"/>
          <w:sz w:val="22"/>
          <w:szCs w:val="22"/>
        </w:rPr>
        <w:t>idea is to have a</w:t>
      </w:r>
      <w:r w:rsidR="00E0519F">
        <w:rPr>
          <w:rFonts w:asciiTheme="majorHAnsi" w:hAnsiTheme="majorHAnsi"/>
          <w:sz w:val="22"/>
          <w:szCs w:val="22"/>
        </w:rPr>
        <w:t xml:space="preserve">n organized </w:t>
      </w:r>
      <w:r>
        <w:rPr>
          <w:rFonts w:asciiTheme="majorHAnsi" w:hAnsiTheme="majorHAnsi"/>
          <w:sz w:val="22"/>
          <w:szCs w:val="22"/>
        </w:rPr>
        <w:t>section in IATRC</w:t>
      </w:r>
      <w:r w:rsidR="00E0519F">
        <w:rPr>
          <w:rFonts w:asciiTheme="majorHAnsi" w:hAnsiTheme="majorHAnsi"/>
          <w:sz w:val="22"/>
          <w:szCs w:val="22"/>
        </w:rPr>
        <w:t xml:space="preserve">, </w:t>
      </w:r>
      <w:r w:rsidR="00006466">
        <w:rPr>
          <w:rFonts w:asciiTheme="majorHAnsi" w:hAnsiTheme="majorHAnsi"/>
          <w:sz w:val="22"/>
          <w:szCs w:val="22"/>
        </w:rPr>
        <w:t>preferably in the last day of the meeting so we can then continue with our annual HATCH meeting</w:t>
      </w:r>
      <w:r>
        <w:rPr>
          <w:rFonts w:asciiTheme="majorHAnsi" w:hAnsiTheme="majorHAnsi"/>
          <w:sz w:val="22"/>
          <w:szCs w:val="22"/>
        </w:rPr>
        <w:t>.</w:t>
      </w:r>
      <w:r w:rsidR="00E0519F">
        <w:rPr>
          <w:rFonts w:asciiTheme="majorHAnsi" w:hAnsiTheme="majorHAnsi"/>
          <w:sz w:val="22"/>
          <w:szCs w:val="22"/>
        </w:rPr>
        <w:t xml:space="preserve"> Tom suggested </w:t>
      </w:r>
      <w:r w:rsidR="00E00BDC">
        <w:rPr>
          <w:rFonts w:asciiTheme="majorHAnsi" w:hAnsiTheme="majorHAnsi"/>
          <w:sz w:val="22"/>
          <w:szCs w:val="22"/>
        </w:rPr>
        <w:t>doing</w:t>
      </w:r>
      <w:r w:rsidR="00E0519F">
        <w:rPr>
          <w:rFonts w:asciiTheme="majorHAnsi" w:hAnsiTheme="majorHAnsi"/>
          <w:sz w:val="22"/>
          <w:szCs w:val="22"/>
        </w:rPr>
        <w:t xml:space="preserve"> an organized symposium in AAEA</w:t>
      </w:r>
      <w:r w:rsidR="00006466">
        <w:rPr>
          <w:rFonts w:asciiTheme="majorHAnsi" w:hAnsiTheme="majorHAnsi"/>
          <w:sz w:val="22"/>
          <w:szCs w:val="22"/>
        </w:rPr>
        <w:t>, which the group is considering</w:t>
      </w:r>
      <w:r w:rsidR="00E0519F">
        <w:rPr>
          <w:rFonts w:asciiTheme="majorHAnsi" w:hAnsiTheme="majorHAnsi"/>
          <w:sz w:val="22"/>
          <w:szCs w:val="22"/>
        </w:rPr>
        <w:t>.</w:t>
      </w:r>
      <w:r>
        <w:rPr>
          <w:rFonts w:asciiTheme="majorHAnsi" w:hAnsiTheme="majorHAnsi"/>
          <w:sz w:val="22"/>
          <w:szCs w:val="22"/>
        </w:rPr>
        <w:t xml:space="preserve"> </w:t>
      </w:r>
    </w:p>
    <w:p w14:paraId="435F3778" w14:textId="6833F44A" w:rsidR="00E120C7" w:rsidRDefault="00E00BDC" w:rsidP="00ED7AA2">
      <w:pPr>
        <w:spacing w:line="480" w:lineRule="auto"/>
        <w:rPr>
          <w:rFonts w:asciiTheme="majorHAnsi" w:hAnsiTheme="majorHAnsi"/>
          <w:sz w:val="22"/>
          <w:szCs w:val="22"/>
        </w:rPr>
      </w:pPr>
      <w:r>
        <w:rPr>
          <w:rFonts w:asciiTheme="majorHAnsi" w:hAnsiTheme="majorHAnsi"/>
          <w:sz w:val="22"/>
          <w:szCs w:val="22"/>
        </w:rPr>
        <w:t xml:space="preserve">We agreed to organize our next annual meeting </w:t>
      </w:r>
      <w:r w:rsidR="00006466">
        <w:rPr>
          <w:rFonts w:asciiTheme="majorHAnsi" w:hAnsiTheme="majorHAnsi"/>
          <w:sz w:val="22"/>
          <w:szCs w:val="22"/>
        </w:rPr>
        <w:t xml:space="preserve">together </w:t>
      </w:r>
      <w:r>
        <w:rPr>
          <w:rFonts w:asciiTheme="majorHAnsi" w:hAnsiTheme="majorHAnsi"/>
          <w:sz w:val="22"/>
          <w:szCs w:val="22"/>
        </w:rPr>
        <w:t xml:space="preserve">with IATRC, and eventually another spring meeting in 2020. Luis </w:t>
      </w:r>
      <w:r w:rsidR="00006466">
        <w:rPr>
          <w:rFonts w:asciiTheme="majorHAnsi" w:hAnsiTheme="majorHAnsi"/>
          <w:sz w:val="22"/>
          <w:szCs w:val="22"/>
        </w:rPr>
        <w:t xml:space="preserve">Ribera </w:t>
      </w:r>
      <w:r>
        <w:rPr>
          <w:rFonts w:asciiTheme="majorHAnsi" w:hAnsiTheme="majorHAnsi"/>
          <w:sz w:val="22"/>
          <w:szCs w:val="22"/>
        </w:rPr>
        <w:t>will help organize the IATRC symposium.</w:t>
      </w:r>
      <w:r w:rsidR="00E120C7">
        <w:rPr>
          <w:rFonts w:asciiTheme="majorHAnsi" w:hAnsiTheme="majorHAnsi"/>
          <w:sz w:val="22"/>
          <w:szCs w:val="22"/>
        </w:rPr>
        <w:t xml:space="preserve"> A call for it will likely come out in August.</w:t>
      </w:r>
    </w:p>
    <w:p w14:paraId="627E6971" w14:textId="77777777" w:rsidR="0079053A" w:rsidRDefault="00E120C7" w:rsidP="00ED7AA2">
      <w:pPr>
        <w:spacing w:line="480" w:lineRule="auto"/>
        <w:rPr>
          <w:rFonts w:asciiTheme="majorHAnsi" w:hAnsiTheme="majorHAnsi"/>
          <w:sz w:val="22"/>
          <w:szCs w:val="22"/>
        </w:rPr>
      </w:pPr>
      <w:r>
        <w:rPr>
          <w:rFonts w:asciiTheme="majorHAnsi" w:hAnsiTheme="majorHAnsi"/>
          <w:sz w:val="22"/>
          <w:szCs w:val="22"/>
        </w:rPr>
        <w:t xml:space="preserve">We propose that the new chair updates the email list every year to make sure all members are notified about the group’s activities. </w:t>
      </w:r>
    </w:p>
    <w:p w14:paraId="3CB35D7A" w14:textId="53634BB1" w:rsidR="00006466" w:rsidRPr="00006466" w:rsidRDefault="0079053A" w:rsidP="00ED7AA2">
      <w:pPr>
        <w:spacing w:line="480" w:lineRule="auto"/>
        <w:rPr>
          <w:rFonts w:asciiTheme="majorHAnsi" w:hAnsiTheme="majorHAnsi"/>
          <w:b/>
          <w:sz w:val="22"/>
          <w:szCs w:val="22"/>
        </w:rPr>
      </w:pPr>
      <w:r w:rsidRPr="00006466">
        <w:rPr>
          <w:rFonts w:asciiTheme="majorHAnsi" w:hAnsiTheme="majorHAnsi"/>
          <w:b/>
          <w:sz w:val="22"/>
          <w:szCs w:val="22"/>
        </w:rPr>
        <w:t xml:space="preserve">Election of </w:t>
      </w:r>
      <w:r w:rsidR="00006466">
        <w:rPr>
          <w:rFonts w:asciiTheme="majorHAnsi" w:hAnsiTheme="majorHAnsi"/>
          <w:b/>
          <w:sz w:val="22"/>
          <w:szCs w:val="22"/>
        </w:rPr>
        <w:t>2020</w:t>
      </w:r>
      <w:r w:rsidRPr="00006466">
        <w:rPr>
          <w:rFonts w:asciiTheme="majorHAnsi" w:hAnsiTheme="majorHAnsi"/>
          <w:b/>
          <w:sz w:val="22"/>
          <w:szCs w:val="22"/>
        </w:rPr>
        <w:t xml:space="preserve"> authorities</w:t>
      </w:r>
    </w:p>
    <w:p w14:paraId="6EE1722C" w14:textId="0BA658AC" w:rsidR="00C94769" w:rsidRDefault="0079053A" w:rsidP="00ED7AA2">
      <w:pPr>
        <w:spacing w:line="480" w:lineRule="auto"/>
        <w:rPr>
          <w:rFonts w:asciiTheme="majorHAnsi" w:hAnsiTheme="majorHAnsi"/>
          <w:sz w:val="22"/>
          <w:szCs w:val="22"/>
        </w:rPr>
      </w:pPr>
      <w:r>
        <w:rPr>
          <w:rFonts w:asciiTheme="majorHAnsi" w:hAnsiTheme="majorHAnsi"/>
          <w:sz w:val="22"/>
          <w:szCs w:val="22"/>
        </w:rPr>
        <w:lastRenderedPageBreak/>
        <w:t xml:space="preserve">Nelson </w:t>
      </w:r>
      <w:proofErr w:type="spellStart"/>
      <w:r>
        <w:rPr>
          <w:rFonts w:asciiTheme="majorHAnsi" w:hAnsiTheme="majorHAnsi"/>
          <w:sz w:val="22"/>
          <w:szCs w:val="22"/>
        </w:rPr>
        <w:t>Villoria</w:t>
      </w:r>
      <w:proofErr w:type="spellEnd"/>
      <w:r>
        <w:rPr>
          <w:rFonts w:asciiTheme="majorHAnsi" w:hAnsiTheme="majorHAnsi"/>
          <w:sz w:val="22"/>
          <w:szCs w:val="22"/>
        </w:rPr>
        <w:t xml:space="preserve">, the current Secretary, </w:t>
      </w:r>
      <w:proofErr w:type="gramStart"/>
      <w:r>
        <w:rPr>
          <w:rFonts w:asciiTheme="majorHAnsi" w:hAnsiTheme="majorHAnsi"/>
          <w:sz w:val="22"/>
          <w:szCs w:val="22"/>
        </w:rPr>
        <w:t>is named</w:t>
      </w:r>
      <w:proofErr w:type="gramEnd"/>
      <w:r>
        <w:rPr>
          <w:rFonts w:asciiTheme="majorHAnsi" w:hAnsiTheme="majorHAnsi"/>
          <w:sz w:val="22"/>
          <w:szCs w:val="22"/>
        </w:rPr>
        <w:t xml:space="preserve"> Chair of the group for 2020. Sandro </w:t>
      </w:r>
      <w:r w:rsidRPr="0079053A">
        <w:rPr>
          <w:rFonts w:asciiTheme="majorHAnsi" w:hAnsiTheme="majorHAnsi"/>
          <w:sz w:val="22"/>
          <w:szCs w:val="22"/>
        </w:rPr>
        <w:t xml:space="preserve">Steinbach </w:t>
      </w:r>
      <w:r>
        <w:rPr>
          <w:rFonts w:asciiTheme="majorHAnsi" w:hAnsiTheme="majorHAnsi"/>
          <w:sz w:val="22"/>
          <w:szCs w:val="22"/>
        </w:rPr>
        <w:t xml:space="preserve">is selected Secretary for 2020. </w:t>
      </w:r>
    </w:p>
    <w:p w14:paraId="7351A98A" w14:textId="77777777" w:rsidR="00C94769" w:rsidRDefault="00C94769" w:rsidP="00ED7AA2">
      <w:pPr>
        <w:spacing w:line="480" w:lineRule="auto"/>
        <w:rPr>
          <w:rFonts w:asciiTheme="majorHAnsi" w:hAnsiTheme="majorHAnsi"/>
          <w:sz w:val="22"/>
          <w:szCs w:val="22"/>
        </w:rPr>
      </w:pPr>
      <w:r>
        <w:rPr>
          <w:rFonts w:asciiTheme="majorHAnsi" w:hAnsiTheme="majorHAnsi"/>
          <w:sz w:val="22"/>
          <w:szCs w:val="22"/>
        </w:rPr>
        <w:t>IATRC subcommittee: Amanda, Luis, and Andy.</w:t>
      </w:r>
    </w:p>
    <w:p w14:paraId="32D0B8F8" w14:textId="77777777" w:rsidR="000569EA" w:rsidRDefault="00C94769" w:rsidP="00ED7AA2">
      <w:pPr>
        <w:spacing w:line="480" w:lineRule="auto"/>
        <w:rPr>
          <w:rFonts w:asciiTheme="majorHAnsi" w:hAnsiTheme="majorHAnsi"/>
          <w:sz w:val="22"/>
          <w:szCs w:val="22"/>
        </w:rPr>
      </w:pPr>
      <w:r>
        <w:rPr>
          <w:rFonts w:asciiTheme="majorHAnsi" w:hAnsiTheme="majorHAnsi"/>
          <w:sz w:val="22"/>
          <w:szCs w:val="22"/>
        </w:rPr>
        <w:t>AAEA subcommittee: Lynn Kennedy.</w:t>
      </w:r>
      <w:r w:rsidR="00E00BDC">
        <w:rPr>
          <w:rFonts w:asciiTheme="majorHAnsi" w:hAnsiTheme="majorHAnsi"/>
          <w:sz w:val="22"/>
          <w:szCs w:val="22"/>
        </w:rPr>
        <w:t xml:space="preserve">  </w:t>
      </w:r>
    </w:p>
    <w:p w14:paraId="2E60D32E" w14:textId="77777777" w:rsidR="000569EA" w:rsidRDefault="000569EA" w:rsidP="00ED7AA2">
      <w:pPr>
        <w:spacing w:line="480" w:lineRule="auto"/>
        <w:rPr>
          <w:rFonts w:asciiTheme="majorHAnsi" w:hAnsiTheme="majorHAnsi"/>
          <w:sz w:val="22"/>
          <w:szCs w:val="22"/>
        </w:rPr>
      </w:pPr>
    </w:p>
    <w:p w14:paraId="23573896" w14:textId="5D30624C" w:rsidR="000569EA" w:rsidRPr="00143052" w:rsidRDefault="00143052" w:rsidP="00ED7AA2">
      <w:pPr>
        <w:spacing w:line="480" w:lineRule="auto"/>
        <w:rPr>
          <w:rFonts w:asciiTheme="majorHAnsi" w:hAnsiTheme="majorHAnsi"/>
          <w:b/>
          <w:sz w:val="22"/>
          <w:szCs w:val="22"/>
        </w:rPr>
      </w:pPr>
      <w:r>
        <w:rPr>
          <w:rFonts w:asciiTheme="majorHAnsi" w:hAnsiTheme="majorHAnsi"/>
          <w:b/>
          <w:sz w:val="22"/>
          <w:szCs w:val="22"/>
        </w:rPr>
        <w:t xml:space="preserve">List of </w:t>
      </w:r>
      <w:r w:rsidR="000569EA" w:rsidRPr="00143052">
        <w:rPr>
          <w:rFonts w:asciiTheme="majorHAnsi" w:hAnsiTheme="majorHAnsi"/>
          <w:b/>
          <w:sz w:val="22"/>
          <w:szCs w:val="22"/>
        </w:rPr>
        <w:t>Accomplishments</w:t>
      </w:r>
    </w:p>
    <w:p w14:paraId="064A5882" w14:textId="77777777" w:rsidR="000569EA" w:rsidRDefault="000569EA" w:rsidP="00ED7AA2">
      <w:pPr>
        <w:spacing w:line="480" w:lineRule="auto"/>
        <w:rPr>
          <w:rFonts w:asciiTheme="majorHAnsi" w:hAnsiTheme="majorHAnsi"/>
          <w:sz w:val="22"/>
          <w:szCs w:val="22"/>
        </w:rPr>
      </w:pPr>
      <w:proofErr w:type="spellStart"/>
      <w:r w:rsidRPr="000569EA">
        <w:rPr>
          <w:rFonts w:asciiTheme="majorHAnsi" w:hAnsiTheme="majorHAnsi"/>
          <w:sz w:val="22"/>
          <w:szCs w:val="22"/>
        </w:rPr>
        <w:t>Jisang</w:t>
      </w:r>
      <w:proofErr w:type="spellEnd"/>
      <w:r w:rsidRPr="000569EA">
        <w:rPr>
          <w:rFonts w:asciiTheme="majorHAnsi" w:hAnsiTheme="majorHAnsi"/>
          <w:sz w:val="22"/>
          <w:szCs w:val="22"/>
        </w:rPr>
        <w:t xml:space="preserve"> Yu and Nelson </w:t>
      </w:r>
      <w:proofErr w:type="spellStart"/>
      <w:r w:rsidRPr="000569EA">
        <w:rPr>
          <w:rFonts w:asciiTheme="majorHAnsi" w:hAnsiTheme="majorHAnsi"/>
          <w:sz w:val="22"/>
          <w:szCs w:val="22"/>
        </w:rPr>
        <w:t>Villoria</w:t>
      </w:r>
      <w:proofErr w:type="spellEnd"/>
      <w:r w:rsidRPr="000569EA">
        <w:rPr>
          <w:rFonts w:asciiTheme="majorHAnsi" w:hAnsiTheme="majorHAnsi"/>
          <w:sz w:val="22"/>
          <w:szCs w:val="22"/>
        </w:rPr>
        <w:t xml:space="preserve"> are working on </w:t>
      </w:r>
      <w:r>
        <w:rPr>
          <w:rFonts w:asciiTheme="majorHAnsi" w:hAnsiTheme="majorHAnsi"/>
          <w:sz w:val="22"/>
          <w:szCs w:val="22"/>
        </w:rPr>
        <w:t>t</w:t>
      </w:r>
      <w:r w:rsidRPr="000569EA">
        <w:rPr>
          <w:rFonts w:asciiTheme="majorHAnsi" w:hAnsiTheme="majorHAnsi"/>
          <w:sz w:val="22"/>
          <w:szCs w:val="22"/>
        </w:rPr>
        <w:t xml:space="preserve">he Incidence of Foreign Market Accessibility on Farmland Rental Rates: In this paper, </w:t>
      </w:r>
      <w:r>
        <w:rPr>
          <w:rFonts w:asciiTheme="majorHAnsi" w:hAnsiTheme="majorHAnsi"/>
          <w:sz w:val="22"/>
          <w:szCs w:val="22"/>
        </w:rPr>
        <w:t>they</w:t>
      </w:r>
      <w:r w:rsidRPr="000569EA">
        <w:rPr>
          <w:rFonts w:asciiTheme="majorHAnsi" w:hAnsiTheme="majorHAnsi"/>
          <w:sz w:val="22"/>
          <w:szCs w:val="22"/>
        </w:rPr>
        <w:t xml:space="preserve"> estimate how farmland rental rates </w:t>
      </w:r>
      <w:proofErr w:type="gramStart"/>
      <w:r w:rsidRPr="000569EA">
        <w:rPr>
          <w:rFonts w:asciiTheme="majorHAnsi" w:hAnsiTheme="majorHAnsi"/>
          <w:sz w:val="22"/>
          <w:szCs w:val="22"/>
        </w:rPr>
        <w:t>are affected</w:t>
      </w:r>
      <w:proofErr w:type="gramEnd"/>
      <w:r w:rsidRPr="000569EA">
        <w:rPr>
          <w:rFonts w:asciiTheme="majorHAnsi" w:hAnsiTheme="majorHAnsi"/>
          <w:sz w:val="22"/>
          <w:szCs w:val="22"/>
        </w:rPr>
        <w:t xml:space="preserve"> by the changes in tariffs that U.S. export crops face. Using annual county-level data of cash rents for non-irrigated fields in 2,534 U.S. counties, </w:t>
      </w:r>
      <w:r>
        <w:rPr>
          <w:rFonts w:asciiTheme="majorHAnsi" w:hAnsiTheme="majorHAnsi"/>
          <w:sz w:val="22"/>
          <w:szCs w:val="22"/>
        </w:rPr>
        <w:t>the authors</w:t>
      </w:r>
      <w:r w:rsidRPr="000569EA">
        <w:rPr>
          <w:rFonts w:asciiTheme="majorHAnsi" w:hAnsiTheme="majorHAnsi"/>
          <w:sz w:val="22"/>
          <w:szCs w:val="22"/>
        </w:rPr>
        <w:t xml:space="preserve"> first directly estimate the impact of tariff changes on cash rents. </w:t>
      </w:r>
      <w:r>
        <w:rPr>
          <w:rFonts w:asciiTheme="majorHAnsi" w:hAnsiTheme="majorHAnsi"/>
          <w:sz w:val="22"/>
          <w:szCs w:val="22"/>
        </w:rPr>
        <w:t>The</w:t>
      </w:r>
      <w:r w:rsidRPr="000569EA">
        <w:rPr>
          <w:rFonts w:asciiTheme="majorHAnsi" w:hAnsiTheme="majorHAnsi"/>
          <w:sz w:val="22"/>
          <w:szCs w:val="22"/>
        </w:rPr>
        <w:t xml:space="preserve"> findings indicate that one percent increase in ad valorem equivalent localized tariff reduces cash rental rates by about 4.2% of the 2017 average. </w:t>
      </w:r>
      <w:r>
        <w:rPr>
          <w:rFonts w:asciiTheme="majorHAnsi" w:hAnsiTheme="majorHAnsi"/>
          <w:sz w:val="22"/>
          <w:szCs w:val="22"/>
        </w:rPr>
        <w:t>The authors</w:t>
      </w:r>
      <w:r w:rsidRPr="000569EA">
        <w:rPr>
          <w:rFonts w:asciiTheme="majorHAnsi" w:hAnsiTheme="majorHAnsi"/>
          <w:sz w:val="22"/>
          <w:szCs w:val="22"/>
        </w:rPr>
        <w:t xml:space="preserve"> also provide the predicted changes in cash rental rates caused by the 2018 Chinese retaliatory soybeans tariff using the estimated impact of localized tariff changes. </w:t>
      </w:r>
      <w:r>
        <w:rPr>
          <w:rFonts w:asciiTheme="majorHAnsi" w:hAnsiTheme="majorHAnsi"/>
          <w:sz w:val="22"/>
          <w:szCs w:val="22"/>
        </w:rPr>
        <w:t>They</w:t>
      </w:r>
      <w:r w:rsidRPr="000569EA">
        <w:rPr>
          <w:rFonts w:asciiTheme="majorHAnsi" w:hAnsiTheme="majorHAnsi"/>
          <w:sz w:val="22"/>
          <w:szCs w:val="22"/>
        </w:rPr>
        <w:t xml:space="preserve"> expect to have it under review in the summer of 2020.</w:t>
      </w:r>
    </w:p>
    <w:p w14:paraId="188F2E60" w14:textId="77777777" w:rsidR="000569EA" w:rsidRDefault="000569EA" w:rsidP="00ED7AA2">
      <w:pPr>
        <w:spacing w:line="480" w:lineRule="auto"/>
        <w:rPr>
          <w:rFonts w:asciiTheme="majorHAnsi" w:hAnsiTheme="majorHAnsi"/>
          <w:sz w:val="22"/>
          <w:szCs w:val="22"/>
        </w:rPr>
      </w:pPr>
      <w:r>
        <w:rPr>
          <w:rFonts w:asciiTheme="majorHAnsi" w:hAnsiTheme="majorHAnsi"/>
          <w:sz w:val="22"/>
          <w:szCs w:val="22"/>
        </w:rPr>
        <w:t>As part of the FAPRI group, Jarrett Whistance and Alvaro Durand-Morat collaborate the U.S. Baseline Outlook, which provides 10-year p</w:t>
      </w:r>
      <w:r w:rsidRPr="000569EA">
        <w:rPr>
          <w:rFonts w:asciiTheme="majorHAnsi" w:hAnsiTheme="majorHAnsi"/>
          <w:sz w:val="22"/>
          <w:szCs w:val="22"/>
        </w:rPr>
        <w:t xml:space="preserve">rojections for </w:t>
      </w:r>
      <w:r>
        <w:rPr>
          <w:rFonts w:asciiTheme="majorHAnsi" w:hAnsiTheme="majorHAnsi"/>
          <w:sz w:val="22"/>
          <w:szCs w:val="22"/>
        </w:rPr>
        <w:t>a</w:t>
      </w:r>
      <w:r w:rsidRPr="000569EA">
        <w:rPr>
          <w:rFonts w:asciiTheme="majorHAnsi" w:hAnsiTheme="majorHAnsi"/>
          <w:sz w:val="22"/>
          <w:szCs w:val="22"/>
        </w:rPr>
        <w:t xml:space="preserve">gricultural and </w:t>
      </w:r>
      <w:r>
        <w:rPr>
          <w:rFonts w:asciiTheme="majorHAnsi" w:hAnsiTheme="majorHAnsi"/>
          <w:sz w:val="22"/>
          <w:szCs w:val="22"/>
        </w:rPr>
        <w:t>b</w:t>
      </w:r>
      <w:r w:rsidRPr="000569EA">
        <w:rPr>
          <w:rFonts w:asciiTheme="majorHAnsi" w:hAnsiTheme="majorHAnsi"/>
          <w:sz w:val="22"/>
          <w:szCs w:val="22"/>
        </w:rPr>
        <w:t xml:space="preserve">iofuel </w:t>
      </w:r>
      <w:r>
        <w:rPr>
          <w:rFonts w:asciiTheme="majorHAnsi" w:hAnsiTheme="majorHAnsi"/>
          <w:sz w:val="22"/>
          <w:szCs w:val="22"/>
        </w:rPr>
        <w:t>m</w:t>
      </w:r>
      <w:r w:rsidRPr="000569EA">
        <w:rPr>
          <w:rFonts w:asciiTheme="majorHAnsi" w:hAnsiTheme="majorHAnsi"/>
          <w:sz w:val="22"/>
          <w:szCs w:val="22"/>
        </w:rPr>
        <w:t>arkets</w:t>
      </w:r>
      <w:r>
        <w:rPr>
          <w:rFonts w:asciiTheme="majorHAnsi" w:hAnsiTheme="majorHAnsi"/>
          <w:sz w:val="22"/>
          <w:szCs w:val="22"/>
        </w:rPr>
        <w:t xml:space="preserve">. The Arkansas Global Rice Economics Program (AGREP) at the University of Arkansas, led by Dr. Durand-Morat, provides the international rice market projections that </w:t>
      </w:r>
      <w:proofErr w:type="gramStart"/>
      <w:r>
        <w:rPr>
          <w:rFonts w:asciiTheme="majorHAnsi" w:hAnsiTheme="majorHAnsi"/>
          <w:sz w:val="22"/>
          <w:szCs w:val="22"/>
        </w:rPr>
        <w:t>are used</w:t>
      </w:r>
      <w:proofErr w:type="gramEnd"/>
      <w:r>
        <w:rPr>
          <w:rFonts w:asciiTheme="majorHAnsi" w:hAnsiTheme="majorHAnsi"/>
          <w:sz w:val="22"/>
          <w:szCs w:val="22"/>
        </w:rPr>
        <w:t xml:space="preserve"> by FAPRI to calibrate the U.S. agricultural and biofuel models. </w:t>
      </w:r>
    </w:p>
    <w:p w14:paraId="761B9557" w14:textId="77777777" w:rsidR="008B4119" w:rsidRDefault="000569EA" w:rsidP="00ED7AA2">
      <w:pPr>
        <w:spacing w:line="480" w:lineRule="auto"/>
        <w:rPr>
          <w:rFonts w:asciiTheme="majorHAnsi" w:hAnsiTheme="majorHAnsi"/>
          <w:sz w:val="22"/>
          <w:szCs w:val="22"/>
        </w:rPr>
      </w:pPr>
      <w:r>
        <w:rPr>
          <w:rFonts w:asciiTheme="majorHAnsi" w:hAnsiTheme="majorHAnsi"/>
          <w:sz w:val="22"/>
          <w:szCs w:val="22"/>
        </w:rPr>
        <w:t>Dr. Durand-Morat and Dr. Lanier Nalley are working on a number of projects looking at the efficiency of international rice markets. We are conducting market research in Congo, Ghana, Nigeria, Mozambique, Indonesia, Bangladesh, Honduras, and Puerto Rico, collecting consumer survey data and rice samples to ascertain if rice is price efficiently in these markets according to the quality of the rice traded.</w:t>
      </w:r>
      <w:r w:rsidR="008B4119">
        <w:rPr>
          <w:rFonts w:asciiTheme="majorHAnsi" w:hAnsiTheme="majorHAnsi"/>
          <w:sz w:val="22"/>
          <w:szCs w:val="22"/>
        </w:rPr>
        <w:t xml:space="preserve"> We are writing </w:t>
      </w:r>
      <w:proofErr w:type="gramStart"/>
      <w:r w:rsidR="008B4119">
        <w:rPr>
          <w:rFonts w:asciiTheme="majorHAnsi" w:hAnsiTheme="majorHAnsi"/>
          <w:sz w:val="22"/>
          <w:szCs w:val="22"/>
        </w:rPr>
        <w:t>3</w:t>
      </w:r>
      <w:proofErr w:type="gramEnd"/>
      <w:r w:rsidR="008B4119">
        <w:rPr>
          <w:rFonts w:asciiTheme="majorHAnsi" w:hAnsiTheme="majorHAnsi"/>
          <w:sz w:val="22"/>
          <w:szCs w:val="22"/>
        </w:rPr>
        <w:t xml:space="preserve"> manuscripts for peer-reviewed publications and expect to send them for review in 2020. Dr. </w:t>
      </w:r>
      <w:r w:rsidR="008B4119">
        <w:rPr>
          <w:rFonts w:asciiTheme="majorHAnsi" w:hAnsiTheme="majorHAnsi"/>
          <w:sz w:val="22"/>
          <w:szCs w:val="22"/>
        </w:rPr>
        <w:lastRenderedPageBreak/>
        <w:t xml:space="preserve">Durand-Morat and Dr. Nalley are also working on a project looking at the return on investment of Checkoff rice funds in Arkansas and its impact on AR rice competitiveness. </w:t>
      </w:r>
    </w:p>
    <w:p w14:paraId="55735FAF" w14:textId="3396414C" w:rsidR="00C62D9E" w:rsidRDefault="008B4119" w:rsidP="008B4119">
      <w:pPr>
        <w:spacing w:line="480" w:lineRule="auto"/>
        <w:rPr>
          <w:rFonts w:asciiTheme="majorHAnsi" w:hAnsiTheme="majorHAnsi"/>
          <w:sz w:val="22"/>
          <w:szCs w:val="22"/>
        </w:rPr>
      </w:pPr>
      <w:r>
        <w:rPr>
          <w:rFonts w:asciiTheme="majorHAnsi" w:hAnsiTheme="majorHAnsi"/>
          <w:sz w:val="22"/>
          <w:szCs w:val="22"/>
        </w:rPr>
        <w:t>In 2019, Dr. Durand-Morat and</w:t>
      </w:r>
      <w:r w:rsidR="00C62D9E">
        <w:rPr>
          <w:rFonts w:asciiTheme="majorHAnsi" w:hAnsiTheme="majorHAnsi"/>
          <w:sz w:val="22"/>
          <w:szCs w:val="22"/>
        </w:rPr>
        <w:t xml:space="preserve"> Dr. Ribera were part of a team that put together the Choices’ theme issue “</w:t>
      </w:r>
      <w:r w:rsidRPr="008B4119">
        <w:rPr>
          <w:rFonts w:asciiTheme="majorHAnsi" w:hAnsiTheme="majorHAnsi"/>
          <w:sz w:val="22"/>
          <w:szCs w:val="22"/>
        </w:rPr>
        <w:t>The Agricultural</w:t>
      </w:r>
      <w:r w:rsidR="00C62D9E">
        <w:rPr>
          <w:rFonts w:asciiTheme="majorHAnsi" w:hAnsiTheme="majorHAnsi"/>
          <w:sz w:val="22"/>
          <w:szCs w:val="22"/>
        </w:rPr>
        <w:t xml:space="preserve"> </w:t>
      </w:r>
      <w:r w:rsidRPr="008B4119">
        <w:rPr>
          <w:rFonts w:asciiTheme="majorHAnsi" w:hAnsiTheme="majorHAnsi"/>
          <w:sz w:val="22"/>
          <w:szCs w:val="22"/>
        </w:rPr>
        <w:t>Production Potential of Latin America:</w:t>
      </w:r>
      <w:r w:rsidR="00C62D9E">
        <w:rPr>
          <w:rFonts w:asciiTheme="majorHAnsi" w:hAnsiTheme="majorHAnsi"/>
          <w:sz w:val="22"/>
          <w:szCs w:val="22"/>
        </w:rPr>
        <w:t xml:space="preserve"> </w:t>
      </w:r>
      <w:r w:rsidRPr="008B4119">
        <w:rPr>
          <w:rFonts w:asciiTheme="majorHAnsi" w:hAnsiTheme="majorHAnsi"/>
          <w:sz w:val="22"/>
          <w:szCs w:val="22"/>
        </w:rPr>
        <w:t>Implications for Global Food Supply</w:t>
      </w:r>
      <w:r w:rsidR="00C62D9E">
        <w:rPr>
          <w:rFonts w:asciiTheme="majorHAnsi" w:hAnsiTheme="majorHAnsi"/>
          <w:sz w:val="22"/>
          <w:szCs w:val="22"/>
        </w:rPr>
        <w:t xml:space="preserve"> </w:t>
      </w:r>
      <w:r w:rsidRPr="008B4119">
        <w:rPr>
          <w:rFonts w:asciiTheme="majorHAnsi" w:hAnsiTheme="majorHAnsi"/>
          <w:sz w:val="22"/>
          <w:szCs w:val="22"/>
        </w:rPr>
        <w:t>and Trade</w:t>
      </w:r>
      <w:r w:rsidR="00C62D9E">
        <w:rPr>
          <w:rFonts w:asciiTheme="majorHAnsi" w:hAnsiTheme="majorHAnsi"/>
          <w:sz w:val="22"/>
          <w:szCs w:val="22"/>
        </w:rPr>
        <w:t>.”</w:t>
      </w:r>
    </w:p>
    <w:p w14:paraId="53B90C48" w14:textId="77777777" w:rsidR="00C62D9E" w:rsidRPr="00C62D9E" w:rsidRDefault="00C62D9E" w:rsidP="008B4119">
      <w:pPr>
        <w:spacing w:line="480" w:lineRule="auto"/>
        <w:rPr>
          <w:rFonts w:asciiTheme="majorHAnsi" w:hAnsiTheme="majorHAnsi"/>
          <w:b/>
          <w:sz w:val="22"/>
          <w:szCs w:val="22"/>
        </w:rPr>
      </w:pPr>
      <w:r w:rsidRPr="00C62D9E">
        <w:rPr>
          <w:rFonts w:asciiTheme="majorHAnsi" w:hAnsiTheme="majorHAnsi"/>
          <w:b/>
          <w:sz w:val="22"/>
          <w:szCs w:val="22"/>
        </w:rPr>
        <w:t>List of publications</w:t>
      </w:r>
    </w:p>
    <w:p w14:paraId="6B157307" w14:textId="77777777" w:rsidR="006C3C9F" w:rsidRDefault="006C3C9F" w:rsidP="006C3C9F">
      <w:pPr>
        <w:spacing w:line="480" w:lineRule="auto"/>
        <w:ind w:left="720" w:hanging="720"/>
        <w:rPr>
          <w:rFonts w:asciiTheme="majorHAnsi" w:hAnsiTheme="majorHAnsi"/>
          <w:sz w:val="22"/>
          <w:szCs w:val="22"/>
        </w:rPr>
      </w:pPr>
      <w:r w:rsidRPr="00FC4FBE">
        <w:rPr>
          <w:rFonts w:asciiTheme="majorHAnsi" w:hAnsiTheme="majorHAnsi"/>
          <w:sz w:val="22"/>
          <w:szCs w:val="22"/>
        </w:rPr>
        <w:t>Ali, R.B., J. Luckstead, A. Durand-Morat, and E. Wailes. The Impacts of Trade and Self-Sufficiency Policies on</w:t>
      </w:r>
      <w:r>
        <w:rPr>
          <w:rFonts w:asciiTheme="majorHAnsi" w:hAnsiTheme="majorHAnsi"/>
          <w:sz w:val="22"/>
          <w:szCs w:val="22"/>
        </w:rPr>
        <w:t xml:space="preserve"> </w:t>
      </w:r>
      <w:r w:rsidRPr="00FC4FBE">
        <w:rPr>
          <w:rFonts w:asciiTheme="majorHAnsi" w:hAnsiTheme="majorHAnsi"/>
          <w:sz w:val="22"/>
          <w:szCs w:val="22"/>
        </w:rPr>
        <w:t>Heterogeneous Rice Farms in Malaysia. Review of Development Economics 23:1659–1673. 2019.</w:t>
      </w:r>
    </w:p>
    <w:p w14:paraId="30EAD03A" w14:textId="77777777" w:rsidR="006C3C9F" w:rsidRDefault="006C3C9F" w:rsidP="006C3C9F">
      <w:pPr>
        <w:spacing w:line="480" w:lineRule="auto"/>
        <w:ind w:left="720" w:hanging="720"/>
        <w:rPr>
          <w:rFonts w:asciiTheme="majorHAnsi" w:hAnsiTheme="majorHAnsi"/>
          <w:sz w:val="22"/>
          <w:szCs w:val="22"/>
        </w:rPr>
      </w:pPr>
      <w:r w:rsidRPr="00FC4FBE">
        <w:rPr>
          <w:rFonts w:asciiTheme="majorHAnsi" w:hAnsiTheme="majorHAnsi"/>
          <w:sz w:val="22"/>
          <w:szCs w:val="22"/>
        </w:rPr>
        <w:t>Ali, R.B., A. Durand-Morat, E. Wailes, and J. Luckstead. Self-Sufficiency and International Trade Policy Strategies in the</w:t>
      </w:r>
      <w:r>
        <w:rPr>
          <w:rFonts w:asciiTheme="majorHAnsi" w:hAnsiTheme="majorHAnsi"/>
          <w:sz w:val="22"/>
          <w:szCs w:val="22"/>
        </w:rPr>
        <w:t xml:space="preserve"> </w:t>
      </w:r>
      <w:r w:rsidRPr="00FC4FBE">
        <w:rPr>
          <w:rFonts w:asciiTheme="majorHAnsi" w:hAnsiTheme="majorHAnsi"/>
          <w:sz w:val="22"/>
          <w:szCs w:val="22"/>
        </w:rPr>
        <w:t>Malaysian Rice Sector: Approaches to Food Security Using Spatial Partial Equilibrium Analysis. Asian Journal of</w:t>
      </w:r>
      <w:r>
        <w:rPr>
          <w:rFonts w:asciiTheme="majorHAnsi" w:hAnsiTheme="majorHAnsi"/>
          <w:sz w:val="22"/>
          <w:szCs w:val="22"/>
        </w:rPr>
        <w:t xml:space="preserve"> </w:t>
      </w:r>
      <w:r w:rsidRPr="00FC4FBE">
        <w:rPr>
          <w:rFonts w:asciiTheme="majorHAnsi" w:hAnsiTheme="majorHAnsi"/>
          <w:sz w:val="22"/>
          <w:szCs w:val="22"/>
        </w:rPr>
        <w:t>Agriculture and Development, 16(1), June 2019.</w:t>
      </w:r>
    </w:p>
    <w:p w14:paraId="3B42FE23" w14:textId="77777777" w:rsidR="006C3C9F" w:rsidRDefault="006C3C9F" w:rsidP="006C3C9F">
      <w:pPr>
        <w:spacing w:line="480" w:lineRule="auto"/>
        <w:ind w:left="720" w:hanging="720"/>
        <w:rPr>
          <w:rFonts w:asciiTheme="majorHAnsi" w:hAnsiTheme="majorHAnsi"/>
          <w:sz w:val="22"/>
          <w:szCs w:val="22"/>
        </w:rPr>
      </w:pPr>
      <w:r w:rsidRPr="00FC4FBE">
        <w:rPr>
          <w:rFonts w:asciiTheme="majorHAnsi" w:hAnsiTheme="majorHAnsi"/>
          <w:sz w:val="22"/>
          <w:szCs w:val="22"/>
        </w:rPr>
        <w:t>Bajrami, E., E.J. Wailes, B. Dixon, A. Musliu, and A. Durand-Morat. Do coupled subsidies increase milk productivity, land</w:t>
      </w:r>
      <w:r>
        <w:rPr>
          <w:rFonts w:asciiTheme="majorHAnsi" w:hAnsiTheme="majorHAnsi"/>
          <w:sz w:val="22"/>
          <w:szCs w:val="22"/>
        </w:rPr>
        <w:t xml:space="preserve"> </w:t>
      </w:r>
      <w:r w:rsidRPr="00FC4FBE">
        <w:rPr>
          <w:rFonts w:asciiTheme="majorHAnsi" w:hAnsiTheme="majorHAnsi"/>
          <w:sz w:val="22"/>
          <w:szCs w:val="22"/>
        </w:rPr>
        <w:t>use, herd size and income? Evidence from Kosovo. Studies in Agricultural Economics 121: 134-143. 2019.</w:t>
      </w:r>
      <w:r>
        <w:rPr>
          <w:rFonts w:asciiTheme="majorHAnsi" w:hAnsiTheme="majorHAnsi"/>
          <w:sz w:val="22"/>
          <w:szCs w:val="22"/>
        </w:rPr>
        <w:t xml:space="preserve"> </w:t>
      </w:r>
      <w:hyperlink r:id="rId8" w:history="1">
        <w:r w:rsidRPr="00C652C4">
          <w:rPr>
            <w:rStyle w:val="Hyperlink"/>
            <w:rFonts w:asciiTheme="majorHAnsi" w:hAnsiTheme="majorHAnsi"/>
            <w:sz w:val="22"/>
            <w:szCs w:val="22"/>
          </w:rPr>
          <w:t>https://doi.org/10.7896/j.1913</w:t>
        </w:r>
      </w:hyperlink>
      <w:r w:rsidRPr="00FC4FBE">
        <w:rPr>
          <w:rFonts w:asciiTheme="majorHAnsi" w:hAnsiTheme="majorHAnsi"/>
          <w:sz w:val="22"/>
          <w:szCs w:val="22"/>
        </w:rPr>
        <w:t>.</w:t>
      </w:r>
    </w:p>
    <w:p w14:paraId="35389970" w14:textId="2A45E410" w:rsidR="008B4119" w:rsidRPr="008B4119" w:rsidRDefault="008B4119" w:rsidP="00C62D9E">
      <w:pPr>
        <w:spacing w:line="480" w:lineRule="auto"/>
        <w:ind w:left="720" w:hanging="720"/>
        <w:rPr>
          <w:rFonts w:asciiTheme="majorHAnsi" w:hAnsiTheme="majorHAnsi"/>
          <w:sz w:val="22"/>
          <w:szCs w:val="22"/>
        </w:rPr>
      </w:pPr>
      <w:proofErr w:type="spellStart"/>
      <w:r w:rsidRPr="008B4119">
        <w:rPr>
          <w:rFonts w:asciiTheme="majorHAnsi" w:hAnsiTheme="majorHAnsi"/>
          <w:sz w:val="22"/>
          <w:szCs w:val="22"/>
        </w:rPr>
        <w:t>Baylis</w:t>
      </w:r>
      <w:proofErr w:type="spellEnd"/>
      <w:r w:rsidRPr="008B4119">
        <w:rPr>
          <w:rFonts w:asciiTheme="majorHAnsi" w:hAnsiTheme="majorHAnsi"/>
          <w:sz w:val="22"/>
          <w:szCs w:val="22"/>
        </w:rPr>
        <w:t xml:space="preserve">, Kathy, </w:t>
      </w:r>
      <w:proofErr w:type="spellStart"/>
      <w:r w:rsidRPr="008B4119">
        <w:rPr>
          <w:rFonts w:asciiTheme="majorHAnsi" w:hAnsiTheme="majorHAnsi"/>
          <w:sz w:val="22"/>
          <w:szCs w:val="22"/>
        </w:rPr>
        <w:t>Linlin</w:t>
      </w:r>
      <w:proofErr w:type="spellEnd"/>
      <w:r w:rsidRPr="008B4119">
        <w:rPr>
          <w:rFonts w:asciiTheme="majorHAnsi" w:hAnsiTheme="majorHAnsi"/>
          <w:sz w:val="22"/>
          <w:szCs w:val="22"/>
        </w:rPr>
        <w:t xml:space="preserve"> Fan and Lia </w:t>
      </w:r>
      <w:proofErr w:type="spellStart"/>
      <w:r w:rsidRPr="008B4119">
        <w:rPr>
          <w:rFonts w:asciiTheme="majorHAnsi" w:hAnsiTheme="majorHAnsi"/>
          <w:sz w:val="22"/>
          <w:szCs w:val="22"/>
        </w:rPr>
        <w:t>Nogueira</w:t>
      </w:r>
      <w:proofErr w:type="spellEnd"/>
      <w:r w:rsidRPr="008B4119">
        <w:rPr>
          <w:rFonts w:asciiTheme="majorHAnsi" w:hAnsiTheme="majorHAnsi"/>
          <w:sz w:val="22"/>
          <w:szCs w:val="22"/>
        </w:rPr>
        <w:t>. 2019. “Agricultural Market Liberalization and Household Food Security in Rural China.” American Journal of Agricultural Economics 101(1):250-269, https://doi.org/10.1093/ajae/aay031</w:t>
      </w:r>
    </w:p>
    <w:p w14:paraId="59115D5E" w14:textId="1FE15FD8" w:rsidR="006E719A" w:rsidRDefault="006E719A" w:rsidP="006E719A">
      <w:pPr>
        <w:spacing w:line="480" w:lineRule="auto"/>
        <w:ind w:left="720" w:hanging="720"/>
        <w:rPr>
          <w:rFonts w:asciiTheme="majorHAnsi" w:hAnsiTheme="majorHAnsi"/>
          <w:sz w:val="22"/>
          <w:szCs w:val="22"/>
        </w:rPr>
      </w:pPr>
      <w:r w:rsidRPr="006E719A">
        <w:rPr>
          <w:rFonts w:asciiTheme="majorHAnsi" w:hAnsiTheme="majorHAnsi"/>
          <w:sz w:val="22"/>
          <w:szCs w:val="22"/>
        </w:rPr>
        <w:t>Clements</w:t>
      </w:r>
      <w:r>
        <w:rPr>
          <w:rFonts w:asciiTheme="majorHAnsi" w:hAnsiTheme="majorHAnsi"/>
          <w:sz w:val="22"/>
          <w:szCs w:val="22"/>
        </w:rPr>
        <w:t>, Y., D.</w:t>
      </w:r>
      <w:r w:rsidRPr="006E719A">
        <w:rPr>
          <w:rFonts w:asciiTheme="majorHAnsi" w:hAnsiTheme="majorHAnsi"/>
          <w:sz w:val="22"/>
          <w:szCs w:val="22"/>
        </w:rPr>
        <w:t xml:space="preserve"> </w:t>
      </w:r>
      <w:proofErr w:type="spellStart"/>
      <w:r w:rsidRPr="006E719A">
        <w:rPr>
          <w:rFonts w:asciiTheme="majorHAnsi" w:hAnsiTheme="majorHAnsi"/>
          <w:sz w:val="22"/>
          <w:szCs w:val="22"/>
        </w:rPr>
        <w:t>Calil</w:t>
      </w:r>
      <w:proofErr w:type="spellEnd"/>
      <w:r>
        <w:rPr>
          <w:rFonts w:asciiTheme="majorHAnsi" w:hAnsiTheme="majorHAnsi"/>
          <w:sz w:val="22"/>
          <w:szCs w:val="22"/>
        </w:rPr>
        <w:t>,</w:t>
      </w:r>
      <w:r w:rsidRPr="006E719A">
        <w:rPr>
          <w:rFonts w:asciiTheme="majorHAnsi" w:hAnsiTheme="majorHAnsi"/>
          <w:sz w:val="22"/>
          <w:szCs w:val="22"/>
        </w:rPr>
        <w:t xml:space="preserve"> and L</w:t>
      </w:r>
      <w:r>
        <w:rPr>
          <w:rFonts w:asciiTheme="majorHAnsi" w:hAnsiTheme="majorHAnsi"/>
          <w:sz w:val="22"/>
          <w:szCs w:val="22"/>
        </w:rPr>
        <w:t>.</w:t>
      </w:r>
      <w:r w:rsidRPr="006E719A">
        <w:rPr>
          <w:rFonts w:asciiTheme="majorHAnsi" w:hAnsiTheme="majorHAnsi"/>
          <w:sz w:val="22"/>
          <w:szCs w:val="22"/>
        </w:rPr>
        <w:t xml:space="preserve"> Ribera</w:t>
      </w:r>
      <w:r>
        <w:rPr>
          <w:rFonts w:asciiTheme="majorHAnsi" w:hAnsiTheme="majorHAnsi"/>
          <w:sz w:val="22"/>
          <w:szCs w:val="22"/>
        </w:rPr>
        <w:t>. “</w:t>
      </w:r>
      <w:r w:rsidRPr="006E719A">
        <w:rPr>
          <w:rFonts w:asciiTheme="majorHAnsi" w:hAnsiTheme="majorHAnsi"/>
          <w:sz w:val="22"/>
          <w:szCs w:val="22"/>
        </w:rPr>
        <w:t>Brazil’s Agricultural Production and Its Potential as Global Food Supplier</w:t>
      </w:r>
      <w:r>
        <w:rPr>
          <w:rFonts w:asciiTheme="majorHAnsi" w:hAnsiTheme="majorHAnsi"/>
          <w:sz w:val="22"/>
          <w:szCs w:val="22"/>
        </w:rPr>
        <w:t xml:space="preserve">.” Choices. </w:t>
      </w:r>
      <w:proofErr w:type="gramStart"/>
      <w:r w:rsidRPr="006E719A">
        <w:rPr>
          <w:rFonts w:asciiTheme="majorHAnsi" w:hAnsiTheme="majorHAnsi"/>
          <w:sz w:val="22"/>
          <w:szCs w:val="22"/>
        </w:rPr>
        <w:t>3rd</w:t>
      </w:r>
      <w:proofErr w:type="gramEnd"/>
      <w:r w:rsidRPr="006E719A">
        <w:rPr>
          <w:rFonts w:asciiTheme="majorHAnsi" w:hAnsiTheme="majorHAnsi"/>
          <w:sz w:val="22"/>
          <w:szCs w:val="22"/>
        </w:rPr>
        <w:t xml:space="preserve"> Quarter </w:t>
      </w:r>
      <w:r>
        <w:rPr>
          <w:rFonts w:asciiTheme="majorHAnsi" w:hAnsiTheme="majorHAnsi"/>
          <w:sz w:val="22"/>
          <w:szCs w:val="22"/>
        </w:rPr>
        <w:t>34:3 (</w:t>
      </w:r>
      <w:r w:rsidRPr="006E719A">
        <w:rPr>
          <w:rFonts w:asciiTheme="majorHAnsi" w:hAnsiTheme="majorHAnsi"/>
          <w:sz w:val="22"/>
          <w:szCs w:val="22"/>
        </w:rPr>
        <w:t>2019</w:t>
      </w:r>
      <w:r>
        <w:rPr>
          <w:rFonts w:asciiTheme="majorHAnsi" w:hAnsiTheme="majorHAnsi"/>
          <w:sz w:val="22"/>
          <w:szCs w:val="22"/>
        </w:rPr>
        <w:t>).</w:t>
      </w:r>
    </w:p>
    <w:p w14:paraId="0CD8BDD8" w14:textId="5C7FB0B4" w:rsidR="006C3C9F" w:rsidRDefault="006C3C9F" w:rsidP="006E719A">
      <w:pPr>
        <w:spacing w:line="480" w:lineRule="auto"/>
        <w:ind w:left="720" w:hanging="720"/>
        <w:rPr>
          <w:rFonts w:asciiTheme="majorHAnsi" w:hAnsiTheme="majorHAnsi"/>
          <w:sz w:val="22"/>
          <w:szCs w:val="22"/>
        </w:rPr>
      </w:pPr>
      <w:proofErr w:type="gramStart"/>
      <w:r w:rsidRPr="006C3C9F">
        <w:rPr>
          <w:rFonts w:asciiTheme="majorHAnsi" w:hAnsiTheme="majorHAnsi"/>
          <w:sz w:val="22"/>
          <w:szCs w:val="22"/>
        </w:rPr>
        <w:t>Countryman</w:t>
      </w:r>
      <w:proofErr w:type="gramEnd"/>
      <w:r w:rsidRPr="006C3C9F">
        <w:rPr>
          <w:rFonts w:asciiTheme="majorHAnsi" w:hAnsiTheme="majorHAnsi"/>
          <w:sz w:val="22"/>
          <w:szCs w:val="22"/>
        </w:rPr>
        <w:t xml:space="preserve">, A.M., </w:t>
      </w:r>
      <w:r>
        <w:rPr>
          <w:rFonts w:asciiTheme="majorHAnsi" w:hAnsiTheme="majorHAnsi"/>
          <w:sz w:val="22"/>
          <w:szCs w:val="22"/>
        </w:rPr>
        <w:t>and</w:t>
      </w:r>
      <w:r w:rsidRPr="006C3C9F">
        <w:rPr>
          <w:rFonts w:asciiTheme="majorHAnsi" w:hAnsiTheme="majorHAnsi"/>
          <w:sz w:val="22"/>
          <w:szCs w:val="22"/>
        </w:rPr>
        <w:t xml:space="preserve"> A. Muhammad (2018) “Chinese Trade Retaliation May Diminish U.S. Wine Export Potential” Choices 33(2): 1-7.</w:t>
      </w:r>
    </w:p>
    <w:p w14:paraId="35D30062" w14:textId="77777777" w:rsidR="006C3C9F" w:rsidRPr="00DC149D" w:rsidRDefault="006C3C9F" w:rsidP="006C3C9F">
      <w:pPr>
        <w:spacing w:line="480" w:lineRule="auto"/>
        <w:ind w:left="720" w:hanging="720"/>
        <w:rPr>
          <w:rFonts w:asciiTheme="majorHAnsi" w:hAnsiTheme="majorHAnsi"/>
          <w:sz w:val="22"/>
          <w:szCs w:val="22"/>
        </w:rPr>
      </w:pPr>
      <w:r w:rsidRPr="00DC149D">
        <w:rPr>
          <w:rFonts w:asciiTheme="majorHAnsi" w:hAnsiTheme="majorHAnsi"/>
          <w:sz w:val="22"/>
          <w:szCs w:val="22"/>
        </w:rPr>
        <w:lastRenderedPageBreak/>
        <w:t>DeLong, K.L., K.L. Jensen, A.P. Griffith, and E. McLeod. 2019. “Beef Cattle Farmers’ Marketing Preferences for Selling Local Beef.” Agribusiness: an International Journal, 35(3):343-357. https://doi.org/10.1002/agr.21579</w:t>
      </w:r>
    </w:p>
    <w:p w14:paraId="1A69BACD" w14:textId="483D2B4C" w:rsidR="00DC149D" w:rsidRPr="00DC149D" w:rsidRDefault="00DC149D" w:rsidP="00DC149D">
      <w:pPr>
        <w:spacing w:line="480" w:lineRule="auto"/>
        <w:ind w:left="720" w:hanging="720"/>
        <w:rPr>
          <w:rFonts w:asciiTheme="majorHAnsi" w:hAnsiTheme="majorHAnsi"/>
          <w:sz w:val="22"/>
          <w:szCs w:val="22"/>
        </w:rPr>
      </w:pPr>
      <w:r w:rsidRPr="00DC149D">
        <w:rPr>
          <w:rFonts w:asciiTheme="majorHAnsi" w:hAnsiTheme="majorHAnsi"/>
          <w:sz w:val="22"/>
          <w:szCs w:val="22"/>
        </w:rPr>
        <w:t xml:space="preserve">De </w:t>
      </w:r>
      <w:proofErr w:type="spellStart"/>
      <w:r w:rsidRPr="00DC149D">
        <w:rPr>
          <w:rFonts w:asciiTheme="majorHAnsi" w:hAnsiTheme="majorHAnsi"/>
          <w:sz w:val="22"/>
          <w:szCs w:val="22"/>
        </w:rPr>
        <w:t>Matteis</w:t>
      </w:r>
      <w:proofErr w:type="spellEnd"/>
      <w:r w:rsidRPr="00DC149D">
        <w:rPr>
          <w:rFonts w:asciiTheme="majorHAnsi" w:hAnsiTheme="majorHAnsi"/>
          <w:sz w:val="22"/>
          <w:szCs w:val="22"/>
        </w:rPr>
        <w:t xml:space="preserve">, M.C., T.E. Yu, C.N. Boyer and K.E. DeLong. 2019. “Analyzing Determinants of U.S. Distillers Dried Grains with </w:t>
      </w:r>
      <w:proofErr w:type="spellStart"/>
      <w:r w:rsidRPr="00DC149D">
        <w:rPr>
          <w:rFonts w:asciiTheme="majorHAnsi" w:hAnsiTheme="majorHAnsi"/>
          <w:sz w:val="22"/>
          <w:szCs w:val="22"/>
        </w:rPr>
        <w:t>Solubles</w:t>
      </w:r>
      <w:proofErr w:type="spellEnd"/>
      <w:r w:rsidRPr="00DC149D">
        <w:rPr>
          <w:rFonts w:asciiTheme="majorHAnsi" w:hAnsiTheme="majorHAnsi"/>
          <w:sz w:val="22"/>
          <w:szCs w:val="22"/>
        </w:rPr>
        <w:t xml:space="preserve"> Exports.” Agribusiness: An International Journal, 35(2):168-181.</w:t>
      </w:r>
    </w:p>
    <w:p w14:paraId="52C7D974" w14:textId="77777777" w:rsidR="006C3C9F" w:rsidRDefault="006C3C9F" w:rsidP="006C3C9F">
      <w:pPr>
        <w:spacing w:line="480" w:lineRule="auto"/>
        <w:ind w:left="720" w:hanging="720"/>
        <w:rPr>
          <w:rFonts w:asciiTheme="majorHAnsi" w:hAnsiTheme="majorHAnsi"/>
          <w:sz w:val="22"/>
          <w:szCs w:val="22"/>
        </w:rPr>
      </w:pPr>
      <w:r>
        <w:rPr>
          <w:rFonts w:asciiTheme="majorHAnsi" w:hAnsiTheme="majorHAnsi"/>
          <w:sz w:val="22"/>
          <w:szCs w:val="22"/>
        </w:rPr>
        <w:t>Durand-Morat, A.</w:t>
      </w:r>
      <w:r w:rsidRPr="006E719A">
        <w:rPr>
          <w:rFonts w:asciiTheme="majorHAnsi" w:hAnsiTheme="majorHAnsi"/>
          <w:sz w:val="22"/>
          <w:szCs w:val="22"/>
        </w:rPr>
        <w:t xml:space="preserve"> “Agricultural Production Potential in</w:t>
      </w:r>
      <w:r>
        <w:rPr>
          <w:rFonts w:asciiTheme="majorHAnsi" w:hAnsiTheme="majorHAnsi"/>
          <w:sz w:val="22"/>
          <w:szCs w:val="22"/>
        </w:rPr>
        <w:t xml:space="preserve"> </w:t>
      </w:r>
      <w:r w:rsidRPr="006E719A">
        <w:rPr>
          <w:rFonts w:asciiTheme="majorHAnsi" w:hAnsiTheme="majorHAnsi"/>
          <w:sz w:val="22"/>
          <w:szCs w:val="22"/>
        </w:rPr>
        <w:t>Southern Cone: Argentina, Paraguay</w:t>
      </w:r>
      <w:r>
        <w:rPr>
          <w:rFonts w:asciiTheme="majorHAnsi" w:hAnsiTheme="majorHAnsi"/>
          <w:sz w:val="22"/>
          <w:szCs w:val="22"/>
        </w:rPr>
        <w:t xml:space="preserve"> </w:t>
      </w:r>
      <w:r w:rsidRPr="006E719A">
        <w:rPr>
          <w:rFonts w:asciiTheme="majorHAnsi" w:hAnsiTheme="majorHAnsi"/>
          <w:sz w:val="22"/>
          <w:szCs w:val="22"/>
        </w:rPr>
        <w:t xml:space="preserve">and Uruguay” Choices. </w:t>
      </w:r>
      <w:proofErr w:type="gramStart"/>
      <w:r w:rsidRPr="006E719A">
        <w:rPr>
          <w:rFonts w:asciiTheme="majorHAnsi" w:hAnsiTheme="majorHAnsi"/>
          <w:sz w:val="22"/>
          <w:szCs w:val="22"/>
        </w:rPr>
        <w:t>3rd</w:t>
      </w:r>
      <w:proofErr w:type="gramEnd"/>
      <w:r w:rsidRPr="006E719A">
        <w:rPr>
          <w:rFonts w:asciiTheme="majorHAnsi" w:hAnsiTheme="majorHAnsi"/>
          <w:sz w:val="22"/>
          <w:szCs w:val="22"/>
        </w:rPr>
        <w:t xml:space="preserve"> Quarter 34:3 (2019)</w:t>
      </w:r>
      <w:r>
        <w:rPr>
          <w:rFonts w:asciiTheme="majorHAnsi" w:hAnsiTheme="majorHAnsi"/>
          <w:sz w:val="22"/>
          <w:szCs w:val="22"/>
        </w:rPr>
        <w:t>.</w:t>
      </w:r>
    </w:p>
    <w:p w14:paraId="57EE1A1F" w14:textId="77777777" w:rsidR="006C3C9F" w:rsidRDefault="006C3C9F" w:rsidP="006C3C9F">
      <w:pPr>
        <w:spacing w:line="480" w:lineRule="auto"/>
        <w:ind w:left="720" w:hanging="720"/>
        <w:rPr>
          <w:rFonts w:asciiTheme="majorHAnsi" w:hAnsiTheme="majorHAnsi"/>
          <w:sz w:val="22"/>
          <w:szCs w:val="22"/>
        </w:rPr>
      </w:pPr>
      <w:r w:rsidRPr="00FC4FBE">
        <w:rPr>
          <w:rFonts w:asciiTheme="majorHAnsi" w:hAnsiTheme="majorHAnsi"/>
          <w:sz w:val="22"/>
          <w:szCs w:val="22"/>
        </w:rPr>
        <w:t>Durand-Morat, A., E.C. Chavez, and E.J. Wailes. World and U.S. Rice Baseline Outlook, 2018–2028. B.R. Wells Arkansas</w:t>
      </w:r>
      <w:r>
        <w:rPr>
          <w:rFonts w:asciiTheme="majorHAnsi" w:hAnsiTheme="majorHAnsi"/>
          <w:sz w:val="22"/>
          <w:szCs w:val="22"/>
        </w:rPr>
        <w:t xml:space="preserve"> </w:t>
      </w:r>
      <w:r w:rsidRPr="00FC4FBE">
        <w:rPr>
          <w:rFonts w:asciiTheme="majorHAnsi" w:hAnsiTheme="majorHAnsi"/>
          <w:sz w:val="22"/>
          <w:szCs w:val="22"/>
        </w:rPr>
        <w:t>Rice Research Studies (2018): 412-423. Agricultural Experiment Station. Fayetteville, Arkansas. August 2019</w:t>
      </w:r>
      <w:r>
        <w:rPr>
          <w:rFonts w:asciiTheme="majorHAnsi" w:hAnsiTheme="majorHAnsi"/>
          <w:sz w:val="22"/>
          <w:szCs w:val="22"/>
        </w:rPr>
        <w:t>.</w:t>
      </w:r>
    </w:p>
    <w:p w14:paraId="6CEF0D7F" w14:textId="19F64CE0" w:rsidR="006C3C9F" w:rsidRDefault="006C3C9F" w:rsidP="00DC149D">
      <w:pPr>
        <w:spacing w:line="480" w:lineRule="auto"/>
        <w:ind w:left="720" w:hanging="720"/>
        <w:rPr>
          <w:rFonts w:asciiTheme="majorHAnsi" w:hAnsiTheme="majorHAnsi"/>
          <w:sz w:val="22"/>
          <w:szCs w:val="22"/>
        </w:rPr>
      </w:pPr>
      <w:r w:rsidRPr="006C3C9F">
        <w:rPr>
          <w:rFonts w:asciiTheme="majorHAnsi" w:hAnsiTheme="majorHAnsi"/>
          <w:sz w:val="22"/>
          <w:szCs w:val="22"/>
        </w:rPr>
        <w:t xml:space="preserve">Hejazi, M., M.A. Marchant, J. Zhu and X. Ning. 2019. "The Decline of U.S. Export Competitiveness in the Chinese Meat Import Market." Agribusiness: An International Journal Special Issue "The Twenty-First Century Agribusiness in China." 35(1):114-126. </w:t>
      </w:r>
      <w:hyperlink r:id="rId9" w:history="1">
        <w:r w:rsidRPr="009A0894">
          <w:rPr>
            <w:rStyle w:val="Hyperlink"/>
            <w:rFonts w:asciiTheme="majorHAnsi" w:hAnsiTheme="majorHAnsi"/>
            <w:sz w:val="22"/>
            <w:szCs w:val="22"/>
          </w:rPr>
          <w:t>https://doi.org/10.1002/agr.21588</w:t>
        </w:r>
      </w:hyperlink>
    </w:p>
    <w:p w14:paraId="1123F25B" w14:textId="48E0A38C" w:rsidR="00DC149D" w:rsidRPr="00DC149D" w:rsidRDefault="00DC149D" w:rsidP="00DC149D">
      <w:pPr>
        <w:spacing w:line="480" w:lineRule="auto"/>
        <w:ind w:left="720" w:hanging="720"/>
        <w:rPr>
          <w:rFonts w:asciiTheme="majorHAnsi" w:hAnsiTheme="majorHAnsi"/>
          <w:sz w:val="22"/>
          <w:szCs w:val="22"/>
        </w:rPr>
      </w:pPr>
      <w:r w:rsidRPr="00DC149D">
        <w:rPr>
          <w:rFonts w:asciiTheme="majorHAnsi" w:hAnsiTheme="majorHAnsi"/>
          <w:sz w:val="22"/>
          <w:szCs w:val="22"/>
        </w:rPr>
        <w:t xml:space="preserve">Kennedy, P.L., A. Schmitz, and K.L. DeLong. 2019. “Biotechnology and Demand Concerns: The Case of Genetically Modified Sugar Beets.” </w:t>
      </w:r>
      <w:proofErr w:type="spellStart"/>
      <w:r w:rsidRPr="00DC149D">
        <w:rPr>
          <w:rFonts w:asciiTheme="majorHAnsi" w:hAnsiTheme="majorHAnsi"/>
          <w:sz w:val="22"/>
          <w:szCs w:val="22"/>
        </w:rPr>
        <w:t>AgBioForum</w:t>
      </w:r>
      <w:proofErr w:type="spellEnd"/>
      <w:r w:rsidRPr="00DC149D">
        <w:rPr>
          <w:rFonts w:asciiTheme="majorHAnsi" w:hAnsiTheme="majorHAnsi"/>
          <w:sz w:val="22"/>
          <w:szCs w:val="22"/>
        </w:rPr>
        <w:t>, 22(1): 1-13. http://www.agbioforum.org/v22n1/v22n1-kennedy.htm</w:t>
      </w:r>
    </w:p>
    <w:p w14:paraId="68621F26" w14:textId="77777777" w:rsidR="006C3C9F" w:rsidRDefault="006C3C9F" w:rsidP="00DC149D">
      <w:pPr>
        <w:spacing w:line="480" w:lineRule="auto"/>
        <w:ind w:left="720" w:hanging="720"/>
        <w:rPr>
          <w:rFonts w:asciiTheme="majorHAnsi" w:hAnsiTheme="majorHAnsi"/>
          <w:sz w:val="22"/>
          <w:szCs w:val="22"/>
        </w:rPr>
      </w:pPr>
      <w:r w:rsidRPr="006C3C9F">
        <w:rPr>
          <w:rFonts w:asciiTheme="majorHAnsi" w:hAnsiTheme="majorHAnsi"/>
          <w:sz w:val="22"/>
          <w:szCs w:val="22"/>
        </w:rPr>
        <w:t xml:space="preserve">Marchant, M.A. and H.H. Wang, co-editors, 2018. "U.S.–China Trade Dispute and Potential Impacts on Agriculture" Theme Issue, Choices. </w:t>
      </w:r>
      <w:proofErr w:type="gramStart"/>
      <w:r w:rsidRPr="006C3C9F">
        <w:rPr>
          <w:rFonts w:asciiTheme="majorHAnsi" w:hAnsiTheme="majorHAnsi"/>
          <w:sz w:val="22"/>
          <w:szCs w:val="22"/>
        </w:rPr>
        <w:t>2nd</w:t>
      </w:r>
      <w:proofErr w:type="gramEnd"/>
      <w:r w:rsidRPr="006C3C9F">
        <w:rPr>
          <w:rFonts w:asciiTheme="majorHAnsi" w:hAnsiTheme="majorHAnsi"/>
          <w:sz w:val="22"/>
          <w:szCs w:val="22"/>
        </w:rPr>
        <w:t xml:space="preserve"> Quarter 33:2(2018), 36 pages. This theme issue </w:t>
      </w:r>
      <w:proofErr w:type="gramStart"/>
      <w:r w:rsidRPr="006C3C9F">
        <w:rPr>
          <w:rFonts w:asciiTheme="majorHAnsi" w:hAnsiTheme="majorHAnsi"/>
          <w:sz w:val="22"/>
          <w:szCs w:val="22"/>
        </w:rPr>
        <w:t>was awarded</w:t>
      </w:r>
      <w:proofErr w:type="gramEnd"/>
      <w:r w:rsidRPr="006C3C9F">
        <w:rPr>
          <w:rFonts w:asciiTheme="majorHAnsi" w:hAnsiTheme="majorHAnsi"/>
          <w:sz w:val="22"/>
          <w:szCs w:val="22"/>
        </w:rPr>
        <w:t xml:space="preserve"> the 2019 Agricultural and Applied Economics Association Quality of Communication Award. </w:t>
      </w:r>
    </w:p>
    <w:p w14:paraId="2B153AD8" w14:textId="579774A1" w:rsidR="00DC149D" w:rsidRPr="00DC149D" w:rsidRDefault="00DC149D" w:rsidP="00DC149D">
      <w:pPr>
        <w:spacing w:line="480" w:lineRule="auto"/>
        <w:ind w:left="720" w:hanging="720"/>
        <w:rPr>
          <w:rFonts w:asciiTheme="majorHAnsi" w:hAnsiTheme="majorHAnsi"/>
          <w:sz w:val="22"/>
          <w:szCs w:val="22"/>
        </w:rPr>
      </w:pPr>
      <w:r w:rsidRPr="00DC149D">
        <w:rPr>
          <w:rFonts w:asciiTheme="majorHAnsi" w:hAnsiTheme="majorHAnsi"/>
          <w:sz w:val="22"/>
          <w:szCs w:val="22"/>
        </w:rPr>
        <w:t>McKay, L., K.L. DeLong, K.L. Jensen, A.P. Griffith, C.N. Boyer, and D.M. Lambert. 2019. “Restaurant Willingness to Pay for Local Beef." Agribusiness: an International Journal, 35(4): 610-624. https://doi.org/10.1002/agr.21605</w:t>
      </w:r>
    </w:p>
    <w:p w14:paraId="687F2EC5" w14:textId="1181BC9C" w:rsidR="00DC149D" w:rsidRPr="00DC149D" w:rsidRDefault="00DC149D" w:rsidP="00DC149D">
      <w:pPr>
        <w:spacing w:line="480" w:lineRule="auto"/>
        <w:ind w:left="720" w:hanging="720"/>
        <w:rPr>
          <w:rFonts w:asciiTheme="majorHAnsi" w:hAnsiTheme="majorHAnsi"/>
          <w:sz w:val="22"/>
          <w:szCs w:val="22"/>
        </w:rPr>
      </w:pPr>
      <w:r w:rsidRPr="00DC149D">
        <w:rPr>
          <w:rFonts w:asciiTheme="majorHAnsi" w:hAnsiTheme="majorHAnsi"/>
          <w:sz w:val="22"/>
          <w:szCs w:val="22"/>
        </w:rPr>
        <w:lastRenderedPageBreak/>
        <w:t>McLeod, E., K.L. Jensen, K.L. DeLong, and A.P. Griffith. 2019. “A Multiple Indicators, Multiple Causes Analysis of Beef Cattle Farmers’ Information Use.” Journal of Extension, 57(3):1-13. https://www.joe.org/joe/2019june/a2.php</w:t>
      </w:r>
    </w:p>
    <w:p w14:paraId="723229E5" w14:textId="1DA319E9" w:rsidR="00DC149D" w:rsidRPr="00DC149D" w:rsidRDefault="00DC149D" w:rsidP="00DC149D">
      <w:pPr>
        <w:spacing w:line="480" w:lineRule="auto"/>
        <w:ind w:left="720" w:hanging="720"/>
        <w:rPr>
          <w:rFonts w:asciiTheme="majorHAnsi" w:hAnsiTheme="majorHAnsi"/>
          <w:sz w:val="22"/>
          <w:szCs w:val="22"/>
        </w:rPr>
      </w:pPr>
      <w:r w:rsidRPr="00DC149D">
        <w:rPr>
          <w:rFonts w:asciiTheme="majorHAnsi" w:hAnsiTheme="majorHAnsi"/>
          <w:sz w:val="22"/>
          <w:szCs w:val="22"/>
        </w:rPr>
        <w:t>Muhammad, A., J. Thompson, and K.L. DeLong. In Press. “Implications of KORUS on U.S. beef in South Korea.” International Journal of Trade and Global Markets. https://doi.org/10.1504/IJTGM.2020.10023006</w:t>
      </w:r>
    </w:p>
    <w:p w14:paraId="097E3520" w14:textId="628EFB58" w:rsidR="00DC149D" w:rsidRPr="00DC149D" w:rsidRDefault="00DC149D" w:rsidP="00DC149D">
      <w:pPr>
        <w:spacing w:line="480" w:lineRule="auto"/>
        <w:ind w:left="720" w:hanging="720"/>
        <w:rPr>
          <w:rFonts w:asciiTheme="majorHAnsi" w:hAnsiTheme="majorHAnsi"/>
          <w:sz w:val="22"/>
          <w:szCs w:val="22"/>
        </w:rPr>
      </w:pPr>
      <w:r w:rsidRPr="00DC149D">
        <w:rPr>
          <w:rFonts w:asciiTheme="majorHAnsi" w:hAnsiTheme="majorHAnsi"/>
          <w:sz w:val="22"/>
          <w:szCs w:val="22"/>
        </w:rPr>
        <w:t xml:space="preserve">Muhammad, A., B. Meade, D.R. Marquardt, &amp; D. </w:t>
      </w:r>
      <w:proofErr w:type="spellStart"/>
      <w:r w:rsidRPr="00DC149D">
        <w:rPr>
          <w:rFonts w:asciiTheme="majorHAnsi" w:hAnsiTheme="majorHAnsi"/>
          <w:sz w:val="22"/>
          <w:szCs w:val="22"/>
        </w:rPr>
        <w:t>Mozaffarian</w:t>
      </w:r>
      <w:proofErr w:type="spellEnd"/>
      <w:r w:rsidRPr="00DC149D">
        <w:rPr>
          <w:rFonts w:asciiTheme="majorHAnsi" w:hAnsiTheme="majorHAnsi"/>
          <w:sz w:val="22"/>
          <w:szCs w:val="22"/>
        </w:rPr>
        <w:t xml:space="preserve"> (2019) “Global Patterns in Price Elasticities of Sugar-sweetened Beverage Intake and Potential Effectiveness of Tax Policy: A Cross-sectional Study of 164 Countries by Sex, Age and Global-income Decile” BMJ Open 9:e026390. </w:t>
      </w:r>
      <w:proofErr w:type="gramStart"/>
      <w:r w:rsidRPr="00DC149D">
        <w:rPr>
          <w:rFonts w:asciiTheme="majorHAnsi" w:hAnsiTheme="majorHAnsi"/>
          <w:sz w:val="22"/>
          <w:szCs w:val="22"/>
        </w:rPr>
        <w:t>doi:</w:t>
      </w:r>
      <w:proofErr w:type="gramEnd"/>
      <w:r w:rsidRPr="00DC149D">
        <w:rPr>
          <w:rFonts w:asciiTheme="majorHAnsi" w:hAnsiTheme="majorHAnsi"/>
          <w:sz w:val="22"/>
          <w:szCs w:val="22"/>
        </w:rPr>
        <w:t>10.1136/bmjopen-2018-026390.</w:t>
      </w:r>
    </w:p>
    <w:p w14:paraId="49C8B4B6" w14:textId="1C0DB228" w:rsidR="00DC149D" w:rsidRDefault="00DC149D" w:rsidP="00DC149D">
      <w:pPr>
        <w:spacing w:line="480" w:lineRule="auto"/>
        <w:ind w:left="720" w:hanging="720"/>
        <w:rPr>
          <w:rFonts w:asciiTheme="majorHAnsi" w:hAnsiTheme="majorHAnsi"/>
          <w:sz w:val="22"/>
          <w:szCs w:val="22"/>
        </w:rPr>
      </w:pPr>
      <w:r w:rsidRPr="00DC149D">
        <w:rPr>
          <w:rFonts w:asciiTheme="majorHAnsi" w:hAnsiTheme="majorHAnsi"/>
          <w:sz w:val="22"/>
          <w:szCs w:val="22"/>
        </w:rPr>
        <w:t>Muhammad, A., &amp; A. Countryman (2019) “In Vino ‘No’ Veritas: Impacts of Fraud on Wine Imports in China” Australian Journal of Agricultural and Resource Economics 63: 742-58. doi:10.1111/1467-8489.12333.</w:t>
      </w:r>
      <w:r>
        <w:rPr>
          <w:rFonts w:asciiTheme="majorHAnsi" w:hAnsiTheme="majorHAnsi"/>
          <w:sz w:val="22"/>
          <w:szCs w:val="22"/>
        </w:rPr>
        <w:t xml:space="preserve"> </w:t>
      </w:r>
    </w:p>
    <w:p w14:paraId="5A870A50" w14:textId="77777777" w:rsidR="006C3C9F" w:rsidRPr="006C3C9F" w:rsidRDefault="006C3C9F" w:rsidP="006C3C9F">
      <w:pPr>
        <w:spacing w:line="480" w:lineRule="auto"/>
        <w:ind w:left="720" w:hanging="720"/>
        <w:rPr>
          <w:rFonts w:asciiTheme="majorHAnsi" w:hAnsiTheme="majorHAnsi"/>
          <w:sz w:val="22"/>
          <w:szCs w:val="22"/>
        </w:rPr>
      </w:pPr>
      <w:r w:rsidRPr="006C3C9F">
        <w:rPr>
          <w:rFonts w:asciiTheme="majorHAnsi" w:hAnsiTheme="majorHAnsi"/>
          <w:sz w:val="22"/>
          <w:szCs w:val="22"/>
        </w:rPr>
        <w:t xml:space="preserve">Nguyen, L. and H. W. </w:t>
      </w:r>
      <w:proofErr w:type="spellStart"/>
      <w:r w:rsidRPr="006C3C9F">
        <w:rPr>
          <w:rFonts w:asciiTheme="majorHAnsi" w:hAnsiTheme="majorHAnsi"/>
          <w:sz w:val="22"/>
          <w:szCs w:val="22"/>
        </w:rPr>
        <w:t>Kinnucan</w:t>
      </w:r>
      <w:proofErr w:type="spellEnd"/>
      <w:r w:rsidRPr="006C3C9F">
        <w:rPr>
          <w:rFonts w:asciiTheme="majorHAnsi" w:hAnsiTheme="majorHAnsi"/>
          <w:sz w:val="22"/>
          <w:szCs w:val="22"/>
        </w:rPr>
        <w:t xml:space="preserve">. 2019.  The US Solar Panel Anti-Dumping Duties </w:t>
      </w:r>
      <w:proofErr w:type="gramStart"/>
      <w:r w:rsidRPr="006C3C9F">
        <w:rPr>
          <w:rFonts w:asciiTheme="majorHAnsi" w:hAnsiTheme="majorHAnsi"/>
          <w:sz w:val="22"/>
          <w:szCs w:val="22"/>
        </w:rPr>
        <w:t>Versus</w:t>
      </w:r>
      <w:proofErr w:type="gramEnd"/>
      <w:r w:rsidRPr="006C3C9F">
        <w:rPr>
          <w:rFonts w:asciiTheme="majorHAnsi" w:hAnsiTheme="majorHAnsi"/>
          <w:sz w:val="22"/>
          <w:szCs w:val="22"/>
        </w:rPr>
        <w:t xml:space="preserve"> Uniform Tariff. Energy Policy 127: 523-532.</w:t>
      </w:r>
    </w:p>
    <w:p w14:paraId="09A38A70" w14:textId="77777777" w:rsidR="006C3C9F" w:rsidRPr="006C3C9F" w:rsidRDefault="006C3C9F" w:rsidP="006C3C9F">
      <w:pPr>
        <w:spacing w:line="480" w:lineRule="auto"/>
        <w:ind w:left="720" w:hanging="720"/>
        <w:rPr>
          <w:rFonts w:asciiTheme="majorHAnsi" w:hAnsiTheme="majorHAnsi"/>
          <w:sz w:val="22"/>
          <w:szCs w:val="22"/>
        </w:rPr>
      </w:pPr>
      <w:r w:rsidRPr="006C3C9F">
        <w:rPr>
          <w:rFonts w:asciiTheme="majorHAnsi" w:hAnsiTheme="majorHAnsi"/>
          <w:sz w:val="22"/>
          <w:szCs w:val="22"/>
        </w:rPr>
        <w:t xml:space="preserve">Nguyen, L. and H. W. </w:t>
      </w:r>
      <w:proofErr w:type="spellStart"/>
      <w:r w:rsidRPr="006C3C9F">
        <w:rPr>
          <w:rFonts w:asciiTheme="majorHAnsi" w:hAnsiTheme="majorHAnsi"/>
          <w:sz w:val="22"/>
          <w:szCs w:val="22"/>
        </w:rPr>
        <w:t>Kinnucan</w:t>
      </w:r>
      <w:proofErr w:type="spellEnd"/>
      <w:r w:rsidRPr="006C3C9F">
        <w:rPr>
          <w:rFonts w:asciiTheme="majorHAnsi" w:hAnsiTheme="majorHAnsi"/>
          <w:sz w:val="22"/>
          <w:szCs w:val="22"/>
        </w:rPr>
        <w:t>. 2018.  World Price Transmission for Differentiated Products: The Case of Shrimp in the U.S. Market. Marine Resource Economics 33: 351-372.</w:t>
      </w:r>
    </w:p>
    <w:p w14:paraId="3AF95F8F" w14:textId="77777777" w:rsidR="006C3C9F" w:rsidRDefault="006C3C9F" w:rsidP="006C3C9F">
      <w:pPr>
        <w:spacing w:line="480" w:lineRule="auto"/>
        <w:ind w:left="720" w:hanging="720"/>
        <w:rPr>
          <w:rFonts w:asciiTheme="majorHAnsi" w:hAnsiTheme="majorHAnsi"/>
          <w:sz w:val="22"/>
          <w:szCs w:val="22"/>
        </w:rPr>
      </w:pPr>
      <w:r w:rsidRPr="006C3C9F">
        <w:rPr>
          <w:rFonts w:asciiTheme="majorHAnsi" w:hAnsiTheme="majorHAnsi"/>
          <w:sz w:val="22"/>
          <w:szCs w:val="22"/>
        </w:rPr>
        <w:t xml:space="preserve">Nguyen, L. and H. W. </w:t>
      </w:r>
      <w:proofErr w:type="spellStart"/>
      <w:r w:rsidRPr="006C3C9F">
        <w:rPr>
          <w:rFonts w:asciiTheme="majorHAnsi" w:hAnsiTheme="majorHAnsi"/>
          <w:sz w:val="22"/>
          <w:szCs w:val="22"/>
        </w:rPr>
        <w:t>Kinnucan</w:t>
      </w:r>
      <w:proofErr w:type="spellEnd"/>
      <w:r w:rsidRPr="006C3C9F">
        <w:rPr>
          <w:rFonts w:asciiTheme="majorHAnsi" w:hAnsiTheme="majorHAnsi"/>
          <w:sz w:val="22"/>
          <w:szCs w:val="22"/>
        </w:rPr>
        <w:t>. 2018.  Effects of Income and Population Growth on Fish Price and Welfare. Aquaculture Economics and Management 22: 244-263.</w:t>
      </w:r>
    </w:p>
    <w:p w14:paraId="7D7A1C42" w14:textId="6BF28986" w:rsidR="006C3C9F" w:rsidRDefault="006C3C9F" w:rsidP="006C3C9F">
      <w:pPr>
        <w:spacing w:line="480" w:lineRule="auto"/>
        <w:ind w:left="720" w:hanging="720"/>
        <w:rPr>
          <w:rFonts w:asciiTheme="majorHAnsi" w:hAnsiTheme="majorHAnsi"/>
          <w:sz w:val="22"/>
          <w:szCs w:val="22"/>
        </w:rPr>
      </w:pPr>
      <w:r w:rsidRPr="006C3C9F">
        <w:rPr>
          <w:rFonts w:asciiTheme="majorHAnsi" w:hAnsiTheme="majorHAnsi"/>
          <w:sz w:val="22"/>
          <w:szCs w:val="22"/>
        </w:rPr>
        <w:t xml:space="preserve">Okpiaifo, G., A. Durand-Morat, G.H. West, L.L. Nalley, R.M. Nayga, and E.J. Wailes. “Consumers’ preferences for sustainable rice practices in Nigeria.” Global Food Security 24. Available online December 2019. </w:t>
      </w:r>
      <w:hyperlink r:id="rId10" w:history="1">
        <w:r w:rsidRPr="009A0894">
          <w:rPr>
            <w:rStyle w:val="Hyperlink"/>
            <w:rFonts w:asciiTheme="majorHAnsi" w:hAnsiTheme="majorHAnsi"/>
            <w:sz w:val="22"/>
            <w:szCs w:val="22"/>
          </w:rPr>
          <w:t>https://doi.org/10.1016/j.gfs.2019.100345</w:t>
        </w:r>
      </w:hyperlink>
      <w:r w:rsidRPr="006C3C9F">
        <w:rPr>
          <w:rFonts w:asciiTheme="majorHAnsi" w:hAnsiTheme="majorHAnsi"/>
          <w:sz w:val="22"/>
          <w:szCs w:val="22"/>
        </w:rPr>
        <w:t>.</w:t>
      </w:r>
    </w:p>
    <w:p w14:paraId="0363D456" w14:textId="77777777" w:rsidR="006C3C9F" w:rsidRDefault="006C3C9F" w:rsidP="006C3C9F">
      <w:pPr>
        <w:spacing w:line="480" w:lineRule="auto"/>
        <w:ind w:left="720" w:hanging="720"/>
        <w:rPr>
          <w:rFonts w:asciiTheme="majorHAnsi" w:hAnsiTheme="majorHAnsi"/>
          <w:sz w:val="22"/>
          <w:szCs w:val="22"/>
        </w:rPr>
      </w:pPr>
      <w:r w:rsidRPr="006C3C9F">
        <w:rPr>
          <w:rFonts w:asciiTheme="majorHAnsi" w:hAnsiTheme="majorHAnsi"/>
          <w:sz w:val="22"/>
          <w:szCs w:val="22"/>
        </w:rPr>
        <w:lastRenderedPageBreak/>
        <w:t>Sharma, A.* J.H. Grant, and K.A. Boys. 2019. “The Bright Side of the Generalized System of (Trade) Preferences: Lessons from Agricultural Trade,” Journal of Agricultural and Resource Economics, 44(1): 32-61.</w:t>
      </w:r>
    </w:p>
    <w:p w14:paraId="66EFFD45" w14:textId="77777777" w:rsidR="006C3C9F" w:rsidRDefault="006C3C9F" w:rsidP="006C3C9F">
      <w:pPr>
        <w:spacing w:line="480" w:lineRule="auto"/>
        <w:ind w:left="720" w:hanging="720"/>
        <w:rPr>
          <w:rFonts w:asciiTheme="majorHAnsi" w:hAnsiTheme="majorHAnsi"/>
          <w:sz w:val="22"/>
          <w:szCs w:val="22"/>
        </w:rPr>
      </w:pPr>
      <w:r w:rsidRPr="006C3C9F">
        <w:rPr>
          <w:rFonts w:asciiTheme="majorHAnsi" w:hAnsiTheme="majorHAnsi"/>
          <w:sz w:val="22"/>
          <w:szCs w:val="22"/>
        </w:rPr>
        <w:t xml:space="preserve">Song, </w:t>
      </w:r>
      <w:proofErr w:type="spellStart"/>
      <w:r w:rsidRPr="006C3C9F">
        <w:rPr>
          <w:rFonts w:asciiTheme="majorHAnsi" w:hAnsiTheme="majorHAnsi"/>
          <w:sz w:val="22"/>
          <w:szCs w:val="22"/>
        </w:rPr>
        <w:t>Baohui</w:t>
      </w:r>
      <w:proofErr w:type="spellEnd"/>
      <w:r w:rsidRPr="006C3C9F">
        <w:rPr>
          <w:rFonts w:asciiTheme="majorHAnsi" w:hAnsiTheme="majorHAnsi"/>
          <w:sz w:val="22"/>
          <w:szCs w:val="22"/>
        </w:rPr>
        <w:t xml:space="preserve"> and Mary A. Marchant, in press/2019. “Enhancing Student Learning Using an International Trade Simulation Project." North American Colleges and Teachers of Agriculture (NACTA) Journal- Special Issue “Engaging Students in Global Agriculture.”</w:t>
      </w:r>
    </w:p>
    <w:p w14:paraId="0F1B206D" w14:textId="5EAB267A" w:rsidR="006C3C9F" w:rsidRPr="006C3C9F" w:rsidRDefault="006C3C9F" w:rsidP="006C3C9F">
      <w:pPr>
        <w:spacing w:line="480" w:lineRule="auto"/>
        <w:ind w:left="720" w:hanging="720"/>
        <w:rPr>
          <w:rFonts w:asciiTheme="majorHAnsi" w:hAnsiTheme="majorHAnsi"/>
          <w:sz w:val="22"/>
          <w:szCs w:val="22"/>
        </w:rPr>
      </w:pPr>
      <w:r w:rsidRPr="006C3C9F">
        <w:rPr>
          <w:rFonts w:asciiTheme="majorHAnsi" w:hAnsiTheme="majorHAnsi"/>
          <w:sz w:val="22"/>
          <w:szCs w:val="22"/>
        </w:rPr>
        <w:t xml:space="preserve">Soon, B.M., and W. Thompson. “Japanese Beef Trade Impact from BSE Using a Time-Varying </w:t>
      </w:r>
      <w:proofErr w:type="spellStart"/>
      <w:r w:rsidRPr="006C3C9F">
        <w:rPr>
          <w:rFonts w:asciiTheme="majorHAnsi" w:hAnsiTheme="majorHAnsi"/>
          <w:sz w:val="22"/>
          <w:szCs w:val="22"/>
        </w:rPr>
        <w:t>Armington</w:t>
      </w:r>
      <w:proofErr w:type="spellEnd"/>
      <w:r w:rsidRPr="006C3C9F">
        <w:rPr>
          <w:rFonts w:asciiTheme="majorHAnsi" w:hAnsiTheme="majorHAnsi"/>
          <w:sz w:val="22"/>
          <w:szCs w:val="22"/>
        </w:rPr>
        <w:t xml:space="preserve"> Model.” Agribusiness: an International Journal 1-17. 2019.</w:t>
      </w:r>
    </w:p>
    <w:p w14:paraId="09EBEC67" w14:textId="77777777" w:rsidR="006C3C9F" w:rsidRPr="006C3C9F" w:rsidRDefault="006C3C9F" w:rsidP="006C3C9F">
      <w:pPr>
        <w:spacing w:line="480" w:lineRule="auto"/>
        <w:ind w:left="720" w:hanging="720"/>
        <w:rPr>
          <w:rFonts w:asciiTheme="majorHAnsi" w:hAnsiTheme="majorHAnsi"/>
          <w:sz w:val="22"/>
          <w:szCs w:val="22"/>
        </w:rPr>
      </w:pPr>
      <w:r w:rsidRPr="006C3C9F">
        <w:rPr>
          <w:rFonts w:asciiTheme="majorHAnsi" w:hAnsiTheme="majorHAnsi"/>
          <w:sz w:val="22"/>
          <w:szCs w:val="22"/>
        </w:rPr>
        <w:t>Soon, B.M., and W. Thompson. “Non-Tariff Measures and Product Differentiation: Hormone-Treated Beef Trade from the United States and Canada to the European Union.” Canadian Journal of Agricultural Economics 1-15. July 22, 2019. DOI: 10.1111/cjag.12200.</w:t>
      </w:r>
    </w:p>
    <w:p w14:paraId="06F2CDA0" w14:textId="20C96C44" w:rsidR="006C3C9F" w:rsidRDefault="006C3C9F" w:rsidP="006C3C9F">
      <w:pPr>
        <w:spacing w:line="480" w:lineRule="auto"/>
        <w:ind w:left="720" w:hanging="720"/>
        <w:rPr>
          <w:rFonts w:asciiTheme="majorHAnsi" w:hAnsiTheme="majorHAnsi"/>
          <w:sz w:val="22"/>
          <w:szCs w:val="22"/>
        </w:rPr>
      </w:pPr>
      <w:r w:rsidRPr="006C3C9F">
        <w:rPr>
          <w:rFonts w:asciiTheme="majorHAnsi" w:hAnsiTheme="majorHAnsi"/>
          <w:sz w:val="22"/>
          <w:szCs w:val="22"/>
        </w:rPr>
        <w:t>Soon, B.M., P. Westhoff, and W. Thompson. “The Impact of Potential Korea-U.S. Free Trade Agreement Renegotiation on the Korean Rice Market and Trade.” Journal of Agricultural and Applied Economics 1-16. 2019.</w:t>
      </w:r>
    </w:p>
    <w:p w14:paraId="06A2A5BB" w14:textId="77777777" w:rsidR="006C3C9F" w:rsidRPr="006C3C9F" w:rsidRDefault="006C3C9F" w:rsidP="006C3C9F">
      <w:pPr>
        <w:spacing w:line="480" w:lineRule="auto"/>
        <w:ind w:left="720" w:hanging="720"/>
        <w:rPr>
          <w:rFonts w:asciiTheme="majorHAnsi" w:hAnsiTheme="majorHAnsi"/>
          <w:sz w:val="22"/>
          <w:szCs w:val="22"/>
        </w:rPr>
      </w:pPr>
      <w:r w:rsidRPr="006C3C9F">
        <w:rPr>
          <w:rFonts w:asciiTheme="majorHAnsi" w:hAnsiTheme="majorHAnsi"/>
          <w:sz w:val="22"/>
          <w:szCs w:val="22"/>
        </w:rPr>
        <w:t xml:space="preserve">Thompson, Wyatt, Joe </w:t>
      </w:r>
      <w:proofErr w:type="spellStart"/>
      <w:r w:rsidRPr="006C3C9F">
        <w:rPr>
          <w:rFonts w:asciiTheme="majorHAnsi" w:hAnsiTheme="majorHAnsi"/>
          <w:sz w:val="22"/>
          <w:szCs w:val="22"/>
        </w:rPr>
        <w:t>Dewbre</w:t>
      </w:r>
      <w:proofErr w:type="spellEnd"/>
      <w:r w:rsidRPr="006C3C9F">
        <w:rPr>
          <w:rFonts w:asciiTheme="majorHAnsi" w:hAnsiTheme="majorHAnsi"/>
          <w:sz w:val="22"/>
          <w:szCs w:val="22"/>
        </w:rPr>
        <w:t xml:space="preserve">, Simone </w:t>
      </w:r>
      <w:proofErr w:type="spellStart"/>
      <w:r w:rsidRPr="006C3C9F">
        <w:rPr>
          <w:rFonts w:asciiTheme="majorHAnsi" w:hAnsiTheme="majorHAnsi"/>
          <w:sz w:val="22"/>
          <w:szCs w:val="22"/>
        </w:rPr>
        <w:t>Pieralli</w:t>
      </w:r>
      <w:proofErr w:type="spellEnd"/>
      <w:r w:rsidRPr="006C3C9F">
        <w:rPr>
          <w:rFonts w:asciiTheme="majorHAnsi" w:hAnsiTheme="majorHAnsi"/>
          <w:sz w:val="22"/>
          <w:szCs w:val="22"/>
        </w:rPr>
        <w:t xml:space="preserve">, </w:t>
      </w:r>
      <w:proofErr w:type="spellStart"/>
      <w:r w:rsidRPr="006C3C9F">
        <w:rPr>
          <w:rFonts w:asciiTheme="majorHAnsi" w:hAnsiTheme="majorHAnsi"/>
          <w:sz w:val="22"/>
          <w:szCs w:val="22"/>
        </w:rPr>
        <w:t>Kateryna</w:t>
      </w:r>
      <w:proofErr w:type="spellEnd"/>
      <w:r w:rsidRPr="006C3C9F">
        <w:rPr>
          <w:rFonts w:asciiTheme="majorHAnsi" w:hAnsiTheme="majorHAnsi"/>
          <w:sz w:val="22"/>
          <w:szCs w:val="22"/>
        </w:rPr>
        <w:t xml:space="preserve"> Schroeder, Ignacio Pérez </w:t>
      </w:r>
      <w:proofErr w:type="spellStart"/>
      <w:r w:rsidRPr="006C3C9F">
        <w:rPr>
          <w:rFonts w:asciiTheme="majorHAnsi" w:hAnsiTheme="majorHAnsi"/>
          <w:sz w:val="22"/>
          <w:szCs w:val="22"/>
        </w:rPr>
        <w:t>Domínguez</w:t>
      </w:r>
      <w:proofErr w:type="spellEnd"/>
      <w:r w:rsidRPr="006C3C9F">
        <w:rPr>
          <w:rFonts w:asciiTheme="majorHAnsi" w:hAnsiTheme="majorHAnsi"/>
          <w:sz w:val="22"/>
          <w:szCs w:val="22"/>
        </w:rPr>
        <w:t xml:space="preserve">, and Patrick </w:t>
      </w:r>
      <w:proofErr w:type="spellStart"/>
      <w:r w:rsidRPr="006C3C9F">
        <w:rPr>
          <w:rFonts w:asciiTheme="majorHAnsi" w:hAnsiTheme="majorHAnsi"/>
          <w:sz w:val="22"/>
          <w:szCs w:val="22"/>
        </w:rPr>
        <w:t>Westhoff</w:t>
      </w:r>
      <w:proofErr w:type="spellEnd"/>
      <w:r w:rsidRPr="006C3C9F">
        <w:rPr>
          <w:rFonts w:asciiTheme="majorHAnsi" w:hAnsiTheme="majorHAnsi"/>
          <w:sz w:val="22"/>
          <w:szCs w:val="22"/>
        </w:rPr>
        <w:t>. “Long-Term Crop Productivity Response and Its Effects on Cereal Markets.” Food Policy 84: 1-9. 2019.</w:t>
      </w:r>
    </w:p>
    <w:p w14:paraId="54002AF2" w14:textId="7F94542A" w:rsidR="006C3C9F" w:rsidRDefault="006C3C9F" w:rsidP="006C3C9F">
      <w:pPr>
        <w:spacing w:line="480" w:lineRule="auto"/>
        <w:ind w:left="720" w:hanging="720"/>
        <w:rPr>
          <w:rFonts w:asciiTheme="majorHAnsi" w:hAnsiTheme="majorHAnsi"/>
          <w:sz w:val="22"/>
          <w:szCs w:val="22"/>
        </w:rPr>
      </w:pPr>
      <w:r w:rsidRPr="006C3C9F">
        <w:rPr>
          <w:rFonts w:asciiTheme="majorHAnsi" w:hAnsiTheme="majorHAnsi"/>
          <w:sz w:val="22"/>
          <w:szCs w:val="22"/>
        </w:rPr>
        <w:t xml:space="preserve">Wang, P., H.W. </w:t>
      </w:r>
      <w:proofErr w:type="spellStart"/>
      <w:r w:rsidRPr="006C3C9F">
        <w:rPr>
          <w:rFonts w:asciiTheme="majorHAnsi" w:hAnsiTheme="majorHAnsi"/>
          <w:sz w:val="22"/>
          <w:szCs w:val="22"/>
        </w:rPr>
        <w:t>Kinnucan</w:t>
      </w:r>
      <w:proofErr w:type="spellEnd"/>
      <w:r w:rsidRPr="006C3C9F">
        <w:rPr>
          <w:rFonts w:asciiTheme="majorHAnsi" w:hAnsiTheme="majorHAnsi"/>
          <w:sz w:val="22"/>
          <w:szCs w:val="22"/>
        </w:rPr>
        <w:t xml:space="preserve">, and P.A. Duffy. 2019.  The Effects of Rising </w:t>
      </w:r>
      <w:proofErr w:type="spellStart"/>
      <w:r w:rsidRPr="006C3C9F">
        <w:rPr>
          <w:rFonts w:asciiTheme="majorHAnsi" w:hAnsiTheme="majorHAnsi"/>
          <w:sz w:val="22"/>
          <w:szCs w:val="22"/>
        </w:rPr>
        <w:t>Labour</w:t>
      </w:r>
      <w:proofErr w:type="spellEnd"/>
      <w:r w:rsidRPr="006C3C9F">
        <w:rPr>
          <w:rFonts w:asciiTheme="majorHAnsi" w:hAnsiTheme="majorHAnsi"/>
          <w:sz w:val="22"/>
          <w:szCs w:val="22"/>
        </w:rPr>
        <w:t xml:space="preserve"> Costs on Global Supply Chains: The Case of China’s Cotton Yarn Industry. Applied Economics 51: 3608-3623.</w:t>
      </w:r>
    </w:p>
    <w:p w14:paraId="667E0B5C" w14:textId="57F7AEF7" w:rsidR="006C3C9F" w:rsidRPr="006C3C9F" w:rsidRDefault="006C3C9F" w:rsidP="006C3C9F">
      <w:pPr>
        <w:spacing w:line="480" w:lineRule="auto"/>
        <w:ind w:left="720" w:hanging="720"/>
        <w:rPr>
          <w:rFonts w:asciiTheme="majorHAnsi" w:hAnsiTheme="majorHAnsi"/>
          <w:sz w:val="22"/>
          <w:szCs w:val="22"/>
        </w:rPr>
      </w:pPr>
      <w:r w:rsidRPr="006C3C9F">
        <w:rPr>
          <w:rFonts w:asciiTheme="majorHAnsi" w:hAnsiTheme="majorHAnsi"/>
          <w:sz w:val="22"/>
          <w:szCs w:val="22"/>
        </w:rPr>
        <w:t xml:space="preserve">Westhoff, P., T. </w:t>
      </w:r>
      <w:proofErr w:type="spellStart"/>
      <w:r w:rsidRPr="006C3C9F">
        <w:rPr>
          <w:rFonts w:asciiTheme="majorHAnsi" w:hAnsiTheme="majorHAnsi"/>
          <w:sz w:val="22"/>
          <w:szCs w:val="22"/>
        </w:rPr>
        <w:t>Davids</w:t>
      </w:r>
      <w:proofErr w:type="spellEnd"/>
      <w:r w:rsidRPr="006C3C9F">
        <w:rPr>
          <w:rFonts w:asciiTheme="majorHAnsi" w:hAnsiTheme="majorHAnsi"/>
          <w:sz w:val="22"/>
          <w:szCs w:val="22"/>
        </w:rPr>
        <w:t xml:space="preserve"> and B.M. Soon. “Impacts of Retaliatory Tariffs on Farm Income and Government Programs.” Choices (Quarter 4, 2019). Available online: </w:t>
      </w:r>
      <w:hyperlink r:id="rId11" w:history="1">
        <w:r w:rsidRPr="009A0894">
          <w:rPr>
            <w:rStyle w:val="Hyperlink"/>
            <w:rFonts w:asciiTheme="majorHAnsi" w:hAnsiTheme="majorHAnsi"/>
            <w:sz w:val="22"/>
            <w:szCs w:val="22"/>
          </w:rPr>
          <w:t>http://www.choicesmagazine.org/choices-magazine/theme-articles/the-economic-impacts-of-trade-retaliation-on-us-agriculture-a-one-year-review/impacts-of-retaliatory-tariffs-on-farm-income-and-government-programs</w:t>
        </w:r>
      </w:hyperlink>
      <w:r>
        <w:rPr>
          <w:rFonts w:asciiTheme="majorHAnsi" w:hAnsiTheme="majorHAnsi"/>
          <w:sz w:val="22"/>
          <w:szCs w:val="22"/>
        </w:rPr>
        <w:t xml:space="preserve"> </w:t>
      </w:r>
    </w:p>
    <w:p w14:paraId="6A4B3E4C" w14:textId="290ADC77" w:rsidR="006C3C9F" w:rsidRPr="00DC149D" w:rsidRDefault="006C3C9F" w:rsidP="006C3C9F">
      <w:pPr>
        <w:spacing w:line="480" w:lineRule="auto"/>
        <w:ind w:left="720" w:hanging="720"/>
        <w:rPr>
          <w:rFonts w:asciiTheme="majorHAnsi" w:hAnsiTheme="majorHAnsi"/>
          <w:sz w:val="22"/>
          <w:szCs w:val="22"/>
        </w:rPr>
      </w:pPr>
      <w:r w:rsidRPr="006C3C9F">
        <w:rPr>
          <w:rFonts w:asciiTheme="majorHAnsi" w:hAnsiTheme="majorHAnsi"/>
          <w:sz w:val="22"/>
          <w:szCs w:val="22"/>
        </w:rPr>
        <w:lastRenderedPageBreak/>
        <w:t xml:space="preserve">Westhoff, Patrick, Scott Gerlt, Jarrett </w:t>
      </w:r>
      <w:proofErr w:type="spellStart"/>
      <w:r w:rsidRPr="006C3C9F">
        <w:rPr>
          <w:rFonts w:asciiTheme="majorHAnsi" w:hAnsiTheme="majorHAnsi"/>
          <w:sz w:val="22"/>
          <w:szCs w:val="22"/>
        </w:rPr>
        <w:t>Whistance</w:t>
      </w:r>
      <w:proofErr w:type="spellEnd"/>
      <w:r w:rsidRPr="006C3C9F">
        <w:rPr>
          <w:rFonts w:asciiTheme="majorHAnsi" w:hAnsiTheme="majorHAnsi"/>
          <w:sz w:val="22"/>
          <w:szCs w:val="22"/>
        </w:rPr>
        <w:t xml:space="preserve">, Julian </w:t>
      </w:r>
      <w:proofErr w:type="spellStart"/>
      <w:r w:rsidRPr="006C3C9F">
        <w:rPr>
          <w:rFonts w:asciiTheme="majorHAnsi" w:hAnsiTheme="majorHAnsi"/>
          <w:sz w:val="22"/>
          <w:szCs w:val="22"/>
        </w:rPr>
        <w:t>Binfield</w:t>
      </w:r>
      <w:proofErr w:type="spellEnd"/>
      <w:r w:rsidRPr="006C3C9F">
        <w:rPr>
          <w:rFonts w:asciiTheme="majorHAnsi" w:hAnsiTheme="majorHAnsi"/>
          <w:sz w:val="22"/>
          <w:szCs w:val="22"/>
        </w:rPr>
        <w:t xml:space="preserve">, Sera </w:t>
      </w:r>
      <w:proofErr w:type="spellStart"/>
      <w:r w:rsidRPr="006C3C9F">
        <w:rPr>
          <w:rFonts w:asciiTheme="majorHAnsi" w:hAnsiTheme="majorHAnsi"/>
          <w:sz w:val="22"/>
          <w:szCs w:val="22"/>
        </w:rPr>
        <w:t>Chiuchiarelli</w:t>
      </w:r>
      <w:proofErr w:type="spellEnd"/>
      <w:r w:rsidRPr="006C3C9F">
        <w:rPr>
          <w:rFonts w:asciiTheme="majorHAnsi" w:hAnsiTheme="majorHAnsi"/>
          <w:sz w:val="22"/>
          <w:szCs w:val="22"/>
        </w:rPr>
        <w:t xml:space="preserve">, </w:t>
      </w:r>
      <w:proofErr w:type="spellStart"/>
      <w:r w:rsidRPr="006C3C9F">
        <w:rPr>
          <w:rFonts w:asciiTheme="majorHAnsi" w:hAnsiTheme="majorHAnsi"/>
          <w:sz w:val="22"/>
          <w:szCs w:val="22"/>
        </w:rPr>
        <w:t>Hoa</w:t>
      </w:r>
      <w:proofErr w:type="spellEnd"/>
      <w:r w:rsidRPr="006C3C9F">
        <w:rPr>
          <w:rFonts w:asciiTheme="majorHAnsi" w:hAnsiTheme="majorHAnsi"/>
          <w:sz w:val="22"/>
          <w:szCs w:val="22"/>
        </w:rPr>
        <w:t xml:space="preserve"> Hoang, Wyatt Thompson, Seth Meyer, Jong-</w:t>
      </w:r>
      <w:proofErr w:type="spellStart"/>
      <w:r w:rsidRPr="006C3C9F">
        <w:rPr>
          <w:rFonts w:asciiTheme="majorHAnsi" w:hAnsiTheme="majorHAnsi"/>
          <w:sz w:val="22"/>
          <w:szCs w:val="22"/>
        </w:rPr>
        <w:t>Ik</w:t>
      </w:r>
      <w:proofErr w:type="spellEnd"/>
      <w:r w:rsidRPr="006C3C9F">
        <w:rPr>
          <w:rFonts w:asciiTheme="majorHAnsi" w:hAnsiTheme="majorHAnsi"/>
          <w:sz w:val="22"/>
          <w:szCs w:val="22"/>
        </w:rPr>
        <w:t xml:space="preserve"> Kim, and Abigail </w:t>
      </w:r>
      <w:proofErr w:type="spellStart"/>
      <w:r w:rsidRPr="006C3C9F">
        <w:rPr>
          <w:rFonts w:asciiTheme="majorHAnsi" w:hAnsiTheme="majorHAnsi"/>
          <w:sz w:val="22"/>
          <w:szCs w:val="22"/>
        </w:rPr>
        <w:t>Meffert</w:t>
      </w:r>
      <w:proofErr w:type="spellEnd"/>
      <w:r w:rsidRPr="006C3C9F">
        <w:rPr>
          <w:rFonts w:asciiTheme="majorHAnsi" w:hAnsiTheme="majorHAnsi"/>
          <w:sz w:val="22"/>
          <w:szCs w:val="22"/>
        </w:rPr>
        <w:t>. “Baseline Update for International Dairy, Livestock and Biofuel Markets.” FAPRI-MU Report 4-19. 2019.</w:t>
      </w:r>
    </w:p>
    <w:p w14:paraId="642EDEA4" w14:textId="77777777" w:rsidR="006C3C9F" w:rsidRDefault="006C3C9F" w:rsidP="006C3C9F">
      <w:pPr>
        <w:spacing w:line="480" w:lineRule="auto"/>
        <w:ind w:left="720" w:hanging="720"/>
        <w:rPr>
          <w:rFonts w:asciiTheme="majorHAnsi" w:hAnsiTheme="majorHAnsi"/>
          <w:sz w:val="22"/>
          <w:szCs w:val="22"/>
        </w:rPr>
      </w:pPr>
      <w:proofErr w:type="spellStart"/>
      <w:r w:rsidRPr="006C3C9F">
        <w:rPr>
          <w:rFonts w:asciiTheme="majorHAnsi" w:hAnsiTheme="majorHAnsi"/>
          <w:sz w:val="22"/>
          <w:szCs w:val="22"/>
        </w:rPr>
        <w:t>Yoonho</w:t>
      </w:r>
      <w:proofErr w:type="spellEnd"/>
      <w:r w:rsidRPr="006C3C9F">
        <w:rPr>
          <w:rFonts w:asciiTheme="majorHAnsi" w:hAnsiTheme="majorHAnsi"/>
          <w:sz w:val="22"/>
          <w:szCs w:val="22"/>
        </w:rPr>
        <w:t xml:space="preserve"> Choi, and E. Kwan Choi, “Quality Wars in the North,” World Economy 42 (2019), 2026-2938.</w:t>
      </w:r>
    </w:p>
    <w:p w14:paraId="7D16E3F3" w14:textId="0EAB7EDF" w:rsidR="006C3C9F" w:rsidRDefault="006C3C9F" w:rsidP="006C3C9F">
      <w:pPr>
        <w:spacing w:line="480" w:lineRule="auto"/>
        <w:ind w:left="720" w:hanging="720"/>
        <w:rPr>
          <w:rFonts w:asciiTheme="majorHAnsi" w:hAnsiTheme="majorHAnsi"/>
          <w:sz w:val="22"/>
          <w:szCs w:val="22"/>
        </w:rPr>
      </w:pPr>
      <w:r w:rsidRPr="006C3C9F">
        <w:rPr>
          <w:rFonts w:asciiTheme="majorHAnsi" w:hAnsiTheme="majorHAnsi"/>
          <w:sz w:val="22"/>
          <w:szCs w:val="22"/>
        </w:rPr>
        <w:t>Yu, T.E., B. Sharma, and B.C. English. 2019. “Investigating Lock Delay on the Upper Mississippi River: a Spatial Panel Analysis.” Networks and Spatial Economics, 19:275-291.</w:t>
      </w:r>
    </w:p>
    <w:p w14:paraId="78A590F2" w14:textId="6E24F88B" w:rsidR="006C3C9F" w:rsidRDefault="006C3C9F" w:rsidP="006C3C9F">
      <w:pPr>
        <w:spacing w:line="480" w:lineRule="auto"/>
        <w:ind w:left="720" w:hanging="720"/>
        <w:rPr>
          <w:rFonts w:asciiTheme="majorHAnsi" w:hAnsiTheme="majorHAnsi"/>
          <w:sz w:val="22"/>
          <w:szCs w:val="22"/>
        </w:rPr>
      </w:pPr>
      <w:r w:rsidRPr="00DC149D">
        <w:rPr>
          <w:rFonts w:asciiTheme="majorHAnsi" w:hAnsiTheme="majorHAnsi"/>
          <w:sz w:val="22"/>
          <w:szCs w:val="22"/>
        </w:rPr>
        <w:t>Yu, T.E., T. Tong, and L. Kennedy. “Assessing the Potential Trade Impacts of China’s Belt and Road Initiative.” Proceedings of the Chinese Economists Society’s Annual Conference, Dalian, China. June 8-9, 2019.</w:t>
      </w:r>
    </w:p>
    <w:p w14:paraId="49AC64EA" w14:textId="77777777" w:rsidR="006C3C9F" w:rsidRDefault="006C3C9F" w:rsidP="006C3C9F">
      <w:pPr>
        <w:spacing w:line="480" w:lineRule="auto"/>
        <w:ind w:left="720" w:hanging="720"/>
        <w:rPr>
          <w:rFonts w:asciiTheme="majorHAnsi" w:hAnsiTheme="majorHAnsi"/>
          <w:sz w:val="22"/>
          <w:szCs w:val="22"/>
        </w:rPr>
      </w:pPr>
      <w:r w:rsidRPr="00C62D9E">
        <w:rPr>
          <w:rFonts w:asciiTheme="majorHAnsi" w:hAnsiTheme="majorHAnsi"/>
          <w:sz w:val="22"/>
          <w:szCs w:val="22"/>
        </w:rPr>
        <w:t>Zhang, Wei* and Mary A. Marchant, in press/2019. “U.S.-China Sorghum Trade Analysis within the Trade Conflict:</w:t>
      </w:r>
      <w:r>
        <w:rPr>
          <w:rFonts w:asciiTheme="majorHAnsi" w:hAnsiTheme="majorHAnsi"/>
          <w:sz w:val="22"/>
          <w:szCs w:val="22"/>
        </w:rPr>
        <w:t xml:space="preserve"> </w:t>
      </w:r>
      <w:r w:rsidRPr="00C62D9E">
        <w:rPr>
          <w:rFonts w:asciiTheme="majorHAnsi" w:hAnsiTheme="majorHAnsi"/>
          <w:sz w:val="22"/>
          <w:szCs w:val="22"/>
        </w:rPr>
        <w:t>Growth, Trends, and Forecast.” Journal of Management Policy and Practice (JMPP). (* denotes graduate student/postdoctoral</w:t>
      </w:r>
      <w:r>
        <w:rPr>
          <w:rFonts w:asciiTheme="majorHAnsi" w:hAnsiTheme="majorHAnsi"/>
          <w:sz w:val="22"/>
          <w:szCs w:val="22"/>
        </w:rPr>
        <w:t xml:space="preserve"> </w:t>
      </w:r>
      <w:r w:rsidRPr="00C62D9E">
        <w:rPr>
          <w:rFonts w:asciiTheme="majorHAnsi" w:hAnsiTheme="majorHAnsi"/>
          <w:sz w:val="22"/>
          <w:szCs w:val="22"/>
        </w:rPr>
        <w:t>scholar)</w:t>
      </w:r>
    </w:p>
    <w:p w14:paraId="576338F3" w14:textId="2A3D2A26" w:rsidR="008B4119" w:rsidRPr="00C62D9E" w:rsidRDefault="00C62D9E" w:rsidP="00C62D9E">
      <w:pPr>
        <w:spacing w:line="480" w:lineRule="auto"/>
        <w:rPr>
          <w:rFonts w:asciiTheme="majorHAnsi" w:hAnsiTheme="majorHAnsi"/>
          <w:b/>
          <w:sz w:val="22"/>
          <w:szCs w:val="22"/>
        </w:rPr>
      </w:pPr>
      <w:r w:rsidRPr="00C62D9E">
        <w:rPr>
          <w:rFonts w:asciiTheme="majorHAnsi" w:hAnsiTheme="majorHAnsi"/>
          <w:b/>
          <w:sz w:val="22"/>
          <w:szCs w:val="22"/>
        </w:rPr>
        <w:t>Grant Awards</w:t>
      </w:r>
    </w:p>
    <w:p w14:paraId="148CA543" w14:textId="439A5F4D" w:rsidR="008B4119" w:rsidRPr="00FB08F0" w:rsidRDefault="008B4119" w:rsidP="00FB08F0">
      <w:pPr>
        <w:pStyle w:val="ListParagraph"/>
        <w:numPr>
          <w:ilvl w:val="0"/>
          <w:numId w:val="3"/>
        </w:numPr>
        <w:spacing w:line="480" w:lineRule="auto"/>
        <w:rPr>
          <w:rFonts w:asciiTheme="majorHAnsi" w:hAnsiTheme="majorHAnsi"/>
          <w:sz w:val="22"/>
          <w:szCs w:val="22"/>
        </w:rPr>
      </w:pPr>
      <w:r w:rsidRPr="00FB08F0">
        <w:rPr>
          <w:rFonts w:asciiTheme="majorHAnsi" w:hAnsiTheme="majorHAnsi"/>
          <w:sz w:val="22"/>
          <w:szCs w:val="22"/>
        </w:rPr>
        <w:t xml:space="preserve">“Scientific Exchanges Fellowship Program.” USDA-FAS (Co-PI), J. </w:t>
      </w:r>
      <w:proofErr w:type="spellStart"/>
      <w:r w:rsidRPr="00FB08F0">
        <w:rPr>
          <w:rFonts w:asciiTheme="majorHAnsi" w:hAnsiTheme="majorHAnsi"/>
          <w:sz w:val="22"/>
          <w:szCs w:val="22"/>
        </w:rPr>
        <w:t>Beghin</w:t>
      </w:r>
      <w:proofErr w:type="spellEnd"/>
      <w:r w:rsidRPr="00FB08F0">
        <w:rPr>
          <w:rFonts w:asciiTheme="majorHAnsi" w:hAnsiTheme="majorHAnsi"/>
          <w:sz w:val="22"/>
          <w:szCs w:val="22"/>
        </w:rPr>
        <w:t xml:space="preserve">, A. </w:t>
      </w:r>
      <w:proofErr w:type="spellStart"/>
      <w:r w:rsidRPr="00FB08F0">
        <w:rPr>
          <w:rFonts w:asciiTheme="majorHAnsi" w:hAnsiTheme="majorHAnsi"/>
          <w:sz w:val="22"/>
          <w:szCs w:val="22"/>
        </w:rPr>
        <w:t>Bianchini</w:t>
      </w:r>
      <w:proofErr w:type="spellEnd"/>
      <w:r w:rsidRPr="00FB08F0">
        <w:rPr>
          <w:rFonts w:asciiTheme="majorHAnsi" w:hAnsiTheme="majorHAnsi"/>
          <w:sz w:val="22"/>
          <w:szCs w:val="22"/>
        </w:rPr>
        <w:t xml:space="preserve">, L. </w:t>
      </w:r>
      <w:proofErr w:type="spellStart"/>
      <w:r w:rsidRPr="00FB08F0">
        <w:rPr>
          <w:rFonts w:asciiTheme="majorHAnsi" w:hAnsiTheme="majorHAnsi"/>
          <w:sz w:val="22"/>
          <w:szCs w:val="22"/>
        </w:rPr>
        <w:t>Calegare</w:t>
      </w:r>
      <w:proofErr w:type="spellEnd"/>
      <w:r w:rsidRPr="00FB08F0">
        <w:rPr>
          <w:rFonts w:asciiTheme="majorHAnsi" w:hAnsiTheme="majorHAnsi"/>
          <w:sz w:val="22"/>
          <w:szCs w:val="22"/>
        </w:rPr>
        <w:t xml:space="preserve">, R.E. Goodman, C. Gustafson, B. Martinez, L. </w:t>
      </w:r>
      <w:proofErr w:type="spellStart"/>
      <w:r w:rsidRPr="00FB08F0">
        <w:rPr>
          <w:rFonts w:asciiTheme="majorHAnsi" w:hAnsiTheme="majorHAnsi"/>
          <w:sz w:val="22"/>
          <w:szCs w:val="22"/>
        </w:rPr>
        <w:t>Nogueira</w:t>
      </w:r>
      <w:proofErr w:type="spellEnd"/>
      <w:r w:rsidRPr="00FB08F0">
        <w:rPr>
          <w:rFonts w:asciiTheme="majorHAnsi" w:hAnsiTheme="majorHAnsi"/>
          <w:sz w:val="22"/>
          <w:szCs w:val="22"/>
        </w:rPr>
        <w:t xml:space="preserve"> and S. </w:t>
      </w:r>
      <w:proofErr w:type="spellStart"/>
      <w:r w:rsidRPr="00FB08F0">
        <w:rPr>
          <w:rFonts w:asciiTheme="majorHAnsi" w:hAnsiTheme="majorHAnsi"/>
          <w:sz w:val="22"/>
          <w:szCs w:val="22"/>
        </w:rPr>
        <w:t>Wegulo</w:t>
      </w:r>
      <w:proofErr w:type="spellEnd"/>
      <w:r w:rsidRPr="00FB08F0">
        <w:rPr>
          <w:rFonts w:asciiTheme="majorHAnsi" w:hAnsiTheme="majorHAnsi"/>
          <w:sz w:val="22"/>
          <w:szCs w:val="22"/>
        </w:rPr>
        <w:t>,   $400,000. September 2019 – September 2021.</w:t>
      </w:r>
    </w:p>
    <w:p w14:paraId="656DBD16" w14:textId="7FA424A3" w:rsidR="008B4119" w:rsidRPr="00FB08F0" w:rsidRDefault="008B4119" w:rsidP="00FB08F0">
      <w:pPr>
        <w:pStyle w:val="ListParagraph"/>
        <w:numPr>
          <w:ilvl w:val="0"/>
          <w:numId w:val="3"/>
        </w:numPr>
        <w:spacing w:line="480" w:lineRule="auto"/>
        <w:rPr>
          <w:rFonts w:asciiTheme="majorHAnsi" w:hAnsiTheme="majorHAnsi"/>
          <w:sz w:val="22"/>
          <w:szCs w:val="22"/>
        </w:rPr>
      </w:pPr>
      <w:r w:rsidRPr="00FB08F0">
        <w:rPr>
          <w:rFonts w:asciiTheme="majorHAnsi" w:hAnsiTheme="majorHAnsi"/>
          <w:sz w:val="22"/>
          <w:szCs w:val="22"/>
        </w:rPr>
        <w:t xml:space="preserve">“Effects of China’s Trade Policies on U.S. Distillers’ Dried Grains.” International Agricultural Trade Research Consortium Annual Meeting, December 2019, presented by Lia </w:t>
      </w:r>
      <w:proofErr w:type="spellStart"/>
      <w:r w:rsidRPr="00FB08F0">
        <w:rPr>
          <w:rFonts w:asciiTheme="majorHAnsi" w:hAnsiTheme="majorHAnsi"/>
          <w:sz w:val="22"/>
          <w:szCs w:val="22"/>
        </w:rPr>
        <w:t>Nogueira</w:t>
      </w:r>
      <w:proofErr w:type="spellEnd"/>
    </w:p>
    <w:p w14:paraId="632535B4" w14:textId="491F5654" w:rsidR="008B4119" w:rsidRPr="00FB08F0" w:rsidRDefault="008B4119" w:rsidP="00FB08F0">
      <w:pPr>
        <w:pStyle w:val="ListParagraph"/>
        <w:numPr>
          <w:ilvl w:val="0"/>
          <w:numId w:val="3"/>
        </w:numPr>
        <w:spacing w:line="480" w:lineRule="auto"/>
        <w:rPr>
          <w:rFonts w:asciiTheme="majorHAnsi" w:hAnsiTheme="majorHAnsi"/>
          <w:sz w:val="22"/>
          <w:szCs w:val="22"/>
        </w:rPr>
      </w:pPr>
      <w:r w:rsidRPr="00FB08F0">
        <w:rPr>
          <w:rFonts w:asciiTheme="majorHAnsi" w:hAnsiTheme="majorHAnsi"/>
          <w:sz w:val="22"/>
          <w:szCs w:val="22"/>
        </w:rPr>
        <w:t xml:space="preserve">"Ranking the Top US and Global </w:t>
      </w:r>
      <w:proofErr w:type="spellStart"/>
      <w:r w:rsidRPr="00FB08F0">
        <w:rPr>
          <w:rFonts w:asciiTheme="majorHAnsi" w:hAnsiTheme="majorHAnsi"/>
          <w:sz w:val="22"/>
          <w:szCs w:val="22"/>
        </w:rPr>
        <w:t>Agri</w:t>
      </w:r>
      <w:proofErr w:type="spellEnd"/>
      <w:r w:rsidRPr="00FB08F0">
        <w:rPr>
          <w:rFonts w:asciiTheme="majorHAnsi" w:hAnsiTheme="majorHAnsi"/>
          <w:sz w:val="22"/>
          <w:szCs w:val="22"/>
        </w:rPr>
        <w:t>-Food Trade Shocks: A Panel Data Econometric Assessment," Funded by: Office of</w:t>
      </w:r>
      <w:r w:rsidR="00862738" w:rsidRPr="00FB08F0">
        <w:rPr>
          <w:rFonts w:asciiTheme="majorHAnsi" w:hAnsiTheme="majorHAnsi"/>
          <w:sz w:val="22"/>
          <w:szCs w:val="22"/>
        </w:rPr>
        <w:t xml:space="preserve"> </w:t>
      </w:r>
      <w:r w:rsidRPr="00FB08F0">
        <w:rPr>
          <w:rFonts w:asciiTheme="majorHAnsi" w:hAnsiTheme="majorHAnsi"/>
          <w:sz w:val="22"/>
          <w:szCs w:val="22"/>
        </w:rPr>
        <w:t xml:space="preserve">the Chief Economist, USDA; Performance Period: Sep. 30, 2018 - Sep. 30, 2019; </w:t>
      </w:r>
      <w:proofErr w:type="gramStart"/>
      <w:r w:rsidRPr="00FB08F0">
        <w:rPr>
          <w:rFonts w:asciiTheme="majorHAnsi" w:hAnsiTheme="majorHAnsi"/>
          <w:sz w:val="22"/>
          <w:szCs w:val="22"/>
        </w:rPr>
        <w:t>PI:</w:t>
      </w:r>
      <w:proofErr w:type="gramEnd"/>
      <w:r w:rsidRPr="00FB08F0">
        <w:rPr>
          <w:rFonts w:asciiTheme="majorHAnsi" w:hAnsiTheme="majorHAnsi"/>
          <w:sz w:val="22"/>
          <w:szCs w:val="22"/>
        </w:rPr>
        <w:t xml:space="preserve"> Jason Grant; Co-PIs: Mary Marchant,</w:t>
      </w:r>
      <w:r w:rsidR="00862738" w:rsidRPr="00FB08F0">
        <w:rPr>
          <w:rFonts w:asciiTheme="majorHAnsi" w:hAnsiTheme="majorHAnsi"/>
          <w:sz w:val="22"/>
          <w:szCs w:val="22"/>
        </w:rPr>
        <w:t xml:space="preserve"> </w:t>
      </w:r>
      <w:r w:rsidRPr="00FB08F0">
        <w:rPr>
          <w:rFonts w:asciiTheme="majorHAnsi" w:hAnsiTheme="majorHAnsi"/>
          <w:sz w:val="22"/>
          <w:szCs w:val="22"/>
        </w:rPr>
        <w:t xml:space="preserve">Everett Peterson, and David </w:t>
      </w:r>
      <w:proofErr w:type="spellStart"/>
      <w:r w:rsidRPr="00FB08F0">
        <w:rPr>
          <w:rFonts w:asciiTheme="majorHAnsi" w:hAnsiTheme="majorHAnsi"/>
          <w:sz w:val="22"/>
          <w:szCs w:val="22"/>
        </w:rPr>
        <w:t>Orden</w:t>
      </w:r>
      <w:proofErr w:type="spellEnd"/>
      <w:r w:rsidRPr="00FB08F0">
        <w:rPr>
          <w:rFonts w:asciiTheme="majorHAnsi" w:hAnsiTheme="majorHAnsi"/>
          <w:sz w:val="22"/>
          <w:szCs w:val="22"/>
        </w:rPr>
        <w:t>.</w:t>
      </w:r>
    </w:p>
    <w:p w14:paraId="1136936F" w14:textId="7362FA51" w:rsidR="008B4119" w:rsidRDefault="008B4119" w:rsidP="00FB08F0">
      <w:pPr>
        <w:pStyle w:val="ListParagraph"/>
        <w:numPr>
          <w:ilvl w:val="0"/>
          <w:numId w:val="3"/>
        </w:numPr>
        <w:spacing w:line="480" w:lineRule="auto"/>
        <w:rPr>
          <w:rFonts w:asciiTheme="majorHAnsi" w:hAnsiTheme="majorHAnsi"/>
          <w:sz w:val="22"/>
          <w:szCs w:val="22"/>
        </w:rPr>
      </w:pPr>
      <w:r w:rsidRPr="00FB08F0">
        <w:rPr>
          <w:rFonts w:asciiTheme="majorHAnsi" w:hAnsiTheme="majorHAnsi"/>
          <w:sz w:val="22"/>
          <w:szCs w:val="22"/>
        </w:rPr>
        <w:t>"Developing a Linked Global-Spatial Crop and Livestock Simulation Model and International Trade Elasticity Estimation,"</w:t>
      </w:r>
      <w:r w:rsidR="00862738" w:rsidRPr="00FB08F0">
        <w:rPr>
          <w:rFonts w:asciiTheme="majorHAnsi" w:hAnsiTheme="majorHAnsi"/>
          <w:sz w:val="22"/>
          <w:szCs w:val="22"/>
        </w:rPr>
        <w:t xml:space="preserve"> </w:t>
      </w:r>
      <w:r w:rsidRPr="00FB08F0">
        <w:rPr>
          <w:rFonts w:asciiTheme="majorHAnsi" w:hAnsiTheme="majorHAnsi"/>
          <w:sz w:val="22"/>
          <w:szCs w:val="22"/>
        </w:rPr>
        <w:t xml:space="preserve">Funded by: Office of the Chief Economist (OCE), USDA; Performance </w:t>
      </w:r>
      <w:r w:rsidRPr="00FB08F0">
        <w:rPr>
          <w:rFonts w:asciiTheme="majorHAnsi" w:hAnsiTheme="majorHAnsi"/>
          <w:sz w:val="22"/>
          <w:szCs w:val="22"/>
        </w:rPr>
        <w:lastRenderedPageBreak/>
        <w:t xml:space="preserve">Period: Sep. 30, 2019 - Dec. 31, 2020; </w:t>
      </w:r>
      <w:proofErr w:type="gramStart"/>
      <w:r w:rsidRPr="00FB08F0">
        <w:rPr>
          <w:rFonts w:asciiTheme="majorHAnsi" w:hAnsiTheme="majorHAnsi"/>
          <w:sz w:val="22"/>
          <w:szCs w:val="22"/>
        </w:rPr>
        <w:t>PI:</w:t>
      </w:r>
      <w:proofErr w:type="gramEnd"/>
      <w:r w:rsidRPr="00FB08F0">
        <w:rPr>
          <w:rFonts w:asciiTheme="majorHAnsi" w:hAnsiTheme="majorHAnsi"/>
          <w:sz w:val="22"/>
          <w:szCs w:val="22"/>
        </w:rPr>
        <w:t xml:space="preserve"> Jason</w:t>
      </w:r>
      <w:r w:rsidR="00862738" w:rsidRPr="00FB08F0">
        <w:rPr>
          <w:rFonts w:asciiTheme="majorHAnsi" w:hAnsiTheme="majorHAnsi"/>
          <w:sz w:val="22"/>
          <w:szCs w:val="22"/>
        </w:rPr>
        <w:t xml:space="preserve"> </w:t>
      </w:r>
      <w:r w:rsidRPr="00FB08F0">
        <w:rPr>
          <w:rFonts w:asciiTheme="majorHAnsi" w:hAnsiTheme="majorHAnsi"/>
          <w:sz w:val="22"/>
          <w:szCs w:val="22"/>
        </w:rPr>
        <w:t xml:space="preserve">Grant; Co-PIs: Mary Marchant, Charlotte </w:t>
      </w:r>
      <w:proofErr w:type="spellStart"/>
      <w:r w:rsidRPr="00FB08F0">
        <w:rPr>
          <w:rFonts w:asciiTheme="majorHAnsi" w:hAnsiTheme="majorHAnsi"/>
          <w:sz w:val="22"/>
          <w:szCs w:val="22"/>
        </w:rPr>
        <w:t>Emlinger</w:t>
      </w:r>
      <w:proofErr w:type="spellEnd"/>
      <w:r w:rsidRPr="00FB08F0">
        <w:rPr>
          <w:rFonts w:asciiTheme="majorHAnsi" w:hAnsiTheme="majorHAnsi"/>
          <w:sz w:val="22"/>
          <w:szCs w:val="22"/>
        </w:rPr>
        <w:t xml:space="preserve">, Everett Peterson, and David </w:t>
      </w:r>
      <w:proofErr w:type="spellStart"/>
      <w:r w:rsidRPr="00FB08F0">
        <w:rPr>
          <w:rFonts w:asciiTheme="majorHAnsi" w:hAnsiTheme="majorHAnsi"/>
          <w:sz w:val="22"/>
          <w:szCs w:val="22"/>
        </w:rPr>
        <w:t>Orden</w:t>
      </w:r>
      <w:proofErr w:type="spellEnd"/>
      <w:r w:rsidRPr="00FB08F0">
        <w:rPr>
          <w:rFonts w:asciiTheme="majorHAnsi" w:hAnsiTheme="majorHAnsi"/>
          <w:sz w:val="22"/>
          <w:szCs w:val="22"/>
        </w:rPr>
        <w:t>.</w:t>
      </w:r>
    </w:p>
    <w:p w14:paraId="3729F7E0" w14:textId="569B2B7D" w:rsidR="00FB08F0" w:rsidRPr="00FB08F0" w:rsidRDefault="00FB08F0" w:rsidP="00753B4C">
      <w:pPr>
        <w:pStyle w:val="ListParagraph"/>
        <w:numPr>
          <w:ilvl w:val="0"/>
          <w:numId w:val="3"/>
        </w:numPr>
        <w:spacing w:line="480" w:lineRule="auto"/>
        <w:rPr>
          <w:rFonts w:asciiTheme="majorHAnsi" w:hAnsiTheme="majorHAnsi"/>
          <w:sz w:val="22"/>
          <w:szCs w:val="22"/>
        </w:rPr>
      </w:pPr>
      <w:r w:rsidRPr="00FB08F0">
        <w:rPr>
          <w:rFonts w:asciiTheme="majorHAnsi" w:hAnsiTheme="majorHAnsi"/>
          <w:sz w:val="22"/>
          <w:szCs w:val="22"/>
        </w:rPr>
        <w:t xml:space="preserve">Title: Analysis of Agricultural Markets and Policies. Agency: USDA, Office of Rural Development. 2019. Amount: $75,000. </w:t>
      </w:r>
      <w:r>
        <w:rPr>
          <w:rFonts w:asciiTheme="majorHAnsi" w:hAnsiTheme="majorHAnsi"/>
          <w:sz w:val="22"/>
          <w:szCs w:val="22"/>
        </w:rPr>
        <w:t xml:space="preserve">PI: Alvaro Durand-Morat; </w:t>
      </w:r>
      <w:proofErr w:type="gramStart"/>
      <w:r w:rsidRPr="00FB08F0">
        <w:rPr>
          <w:rFonts w:asciiTheme="majorHAnsi" w:hAnsiTheme="majorHAnsi"/>
          <w:sz w:val="22"/>
          <w:szCs w:val="22"/>
        </w:rPr>
        <w:t>CO-PI</w:t>
      </w:r>
      <w:r>
        <w:rPr>
          <w:rFonts w:asciiTheme="majorHAnsi" w:hAnsiTheme="majorHAnsi"/>
          <w:sz w:val="22"/>
          <w:szCs w:val="22"/>
        </w:rPr>
        <w:t>:</w:t>
      </w:r>
      <w:proofErr w:type="gramEnd"/>
      <w:r w:rsidRPr="00FB08F0">
        <w:rPr>
          <w:rFonts w:asciiTheme="majorHAnsi" w:hAnsiTheme="majorHAnsi"/>
          <w:sz w:val="22"/>
          <w:szCs w:val="22"/>
        </w:rPr>
        <w:t xml:space="preserve"> Eric Wailes.</w:t>
      </w:r>
    </w:p>
    <w:p w14:paraId="1FC12F94" w14:textId="70920804" w:rsidR="00C62D9E" w:rsidRPr="00DC149D" w:rsidRDefault="00DC149D" w:rsidP="00C62D9E">
      <w:pPr>
        <w:spacing w:line="480" w:lineRule="auto"/>
        <w:rPr>
          <w:rFonts w:asciiTheme="majorHAnsi" w:hAnsiTheme="majorHAnsi"/>
          <w:b/>
          <w:sz w:val="22"/>
          <w:szCs w:val="22"/>
        </w:rPr>
      </w:pPr>
      <w:r w:rsidRPr="00DC149D">
        <w:rPr>
          <w:rFonts w:asciiTheme="majorHAnsi" w:hAnsiTheme="majorHAnsi"/>
          <w:b/>
          <w:sz w:val="22"/>
          <w:szCs w:val="22"/>
        </w:rPr>
        <w:t>Seminars/Conference Sections</w:t>
      </w:r>
    </w:p>
    <w:p w14:paraId="0578902A" w14:textId="213C8456" w:rsidR="00DC149D" w:rsidRPr="00DC149D" w:rsidRDefault="00DC149D" w:rsidP="00246E10">
      <w:pPr>
        <w:pStyle w:val="ListParagraph"/>
        <w:numPr>
          <w:ilvl w:val="0"/>
          <w:numId w:val="4"/>
        </w:numPr>
        <w:spacing w:line="480" w:lineRule="auto"/>
        <w:rPr>
          <w:rFonts w:asciiTheme="majorHAnsi" w:hAnsiTheme="majorHAnsi"/>
          <w:sz w:val="22"/>
          <w:szCs w:val="22"/>
        </w:rPr>
      </w:pPr>
      <w:r w:rsidRPr="00DC149D">
        <w:rPr>
          <w:rFonts w:asciiTheme="majorHAnsi" w:hAnsiTheme="majorHAnsi"/>
          <w:sz w:val="22"/>
          <w:szCs w:val="22"/>
        </w:rPr>
        <w:t xml:space="preserve">C-FARE Webinar, September 2019. “Changes in the Multilateral Trading System: Impacts to US Agriculture”.  I organized and moderated this for C-FARE, with Amanda Countryman and Jason Grant as two of the presenters. Link: </w:t>
      </w:r>
      <w:hyperlink r:id="rId12" w:history="1">
        <w:r w:rsidRPr="00DC149D">
          <w:rPr>
            <w:rStyle w:val="Hyperlink"/>
            <w:rFonts w:asciiTheme="majorHAnsi" w:hAnsiTheme="majorHAnsi"/>
            <w:sz w:val="22"/>
            <w:szCs w:val="22"/>
          </w:rPr>
          <w:t>https://www.cfare.org/new-blog/trade2019webinar</w:t>
        </w:r>
      </w:hyperlink>
      <w:r w:rsidRPr="00DC149D">
        <w:rPr>
          <w:rFonts w:asciiTheme="majorHAnsi" w:hAnsiTheme="majorHAnsi"/>
          <w:sz w:val="22"/>
          <w:szCs w:val="22"/>
        </w:rPr>
        <w:t xml:space="preserve"> </w:t>
      </w:r>
    </w:p>
    <w:p w14:paraId="2D4A7153" w14:textId="46AE4C9B" w:rsidR="00DC149D" w:rsidRDefault="00DC149D" w:rsidP="00DC149D">
      <w:pPr>
        <w:pStyle w:val="ListParagraph"/>
        <w:numPr>
          <w:ilvl w:val="0"/>
          <w:numId w:val="4"/>
        </w:numPr>
        <w:spacing w:line="480" w:lineRule="auto"/>
        <w:rPr>
          <w:rFonts w:asciiTheme="majorHAnsi" w:hAnsiTheme="majorHAnsi"/>
          <w:sz w:val="22"/>
          <w:szCs w:val="22"/>
        </w:rPr>
      </w:pPr>
      <w:r w:rsidRPr="00DC149D">
        <w:rPr>
          <w:rFonts w:asciiTheme="majorHAnsi" w:hAnsiTheme="majorHAnsi"/>
          <w:sz w:val="22"/>
          <w:szCs w:val="22"/>
        </w:rPr>
        <w:t xml:space="preserve">IATRC Theme Day, December 2019, “Recent Advances in Applied General Equilibrium Modeling: Relevance and Application to Agricultural Trade Analysis”.  I organized this with Jason Grant on behalf of IATRC, Nelson </w:t>
      </w:r>
      <w:proofErr w:type="spellStart"/>
      <w:r w:rsidRPr="00DC149D">
        <w:rPr>
          <w:rFonts w:asciiTheme="majorHAnsi" w:hAnsiTheme="majorHAnsi"/>
          <w:sz w:val="22"/>
          <w:szCs w:val="22"/>
        </w:rPr>
        <w:t>Valloria</w:t>
      </w:r>
      <w:proofErr w:type="spellEnd"/>
      <w:r w:rsidRPr="00DC149D">
        <w:rPr>
          <w:rFonts w:asciiTheme="majorHAnsi" w:hAnsiTheme="majorHAnsi"/>
          <w:sz w:val="22"/>
          <w:szCs w:val="22"/>
        </w:rPr>
        <w:t xml:space="preserve"> was a discussant, and Amanda Countryman was a panelist. Link: </w:t>
      </w:r>
      <w:hyperlink r:id="rId13" w:history="1">
        <w:r w:rsidR="006C3C9F" w:rsidRPr="009A0894">
          <w:rPr>
            <w:rStyle w:val="Hyperlink"/>
            <w:rFonts w:asciiTheme="majorHAnsi" w:hAnsiTheme="majorHAnsi"/>
            <w:sz w:val="22"/>
            <w:szCs w:val="22"/>
          </w:rPr>
          <w:t>http://iatrcweb.org/</w:t>
        </w:r>
      </w:hyperlink>
    </w:p>
    <w:p w14:paraId="68411887" w14:textId="77777777" w:rsidR="006C3C9F" w:rsidRPr="006C3C9F" w:rsidRDefault="006C3C9F" w:rsidP="006C3C9F">
      <w:pPr>
        <w:pStyle w:val="ListParagraph"/>
        <w:numPr>
          <w:ilvl w:val="0"/>
          <w:numId w:val="4"/>
        </w:numPr>
        <w:spacing w:line="480" w:lineRule="auto"/>
        <w:rPr>
          <w:rFonts w:asciiTheme="majorHAnsi" w:hAnsiTheme="majorHAnsi"/>
          <w:sz w:val="22"/>
          <w:szCs w:val="22"/>
        </w:rPr>
      </w:pPr>
      <w:r w:rsidRPr="006C3C9F">
        <w:rPr>
          <w:rFonts w:asciiTheme="majorHAnsi" w:hAnsiTheme="majorHAnsi"/>
          <w:sz w:val="22"/>
          <w:szCs w:val="22"/>
        </w:rPr>
        <w:t xml:space="preserve">Westhoff, P., B. Soon and T. </w:t>
      </w:r>
      <w:proofErr w:type="spellStart"/>
      <w:r w:rsidRPr="006C3C9F">
        <w:rPr>
          <w:rFonts w:asciiTheme="majorHAnsi" w:hAnsiTheme="majorHAnsi"/>
          <w:sz w:val="22"/>
          <w:szCs w:val="22"/>
        </w:rPr>
        <w:t>Davids</w:t>
      </w:r>
      <w:proofErr w:type="spellEnd"/>
      <w:r w:rsidRPr="006C3C9F">
        <w:rPr>
          <w:rFonts w:asciiTheme="majorHAnsi" w:hAnsiTheme="majorHAnsi"/>
          <w:sz w:val="22"/>
          <w:szCs w:val="22"/>
        </w:rPr>
        <w:t>. “A Hybrid Model Approach to Estimating Impacts of China’s Tariffs on U.S. Soybeans.” Annual meetings of the Agricultural and Applied Economics Association, Atlanta, GA. July 22, 2019. Available at https://www.fapri.missouri.edu/wp-content/uploads/2019/07/hybrid-model-aaea.pdf.</w:t>
      </w:r>
    </w:p>
    <w:p w14:paraId="589B3AFA" w14:textId="318BA570" w:rsidR="006C3C9F" w:rsidRPr="00DC149D" w:rsidRDefault="006C3C9F" w:rsidP="006C3C9F">
      <w:pPr>
        <w:pStyle w:val="ListParagraph"/>
        <w:numPr>
          <w:ilvl w:val="0"/>
          <w:numId w:val="4"/>
        </w:numPr>
        <w:spacing w:line="480" w:lineRule="auto"/>
        <w:rPr>
          <w:rFonts w:asciiTheme="majorHAnsi" w:hAnsiTheme="majorHAnsi"/>
          <w:sz w:val="22"/>
          <w:szCs w:val="22"/>
        </w:rPr>
      </w:pPr>
      <w:r w:rsidRPr="006C3C9F">
        <w:rPr>
          <w:rFonts w:asciiTheme="majorHAnsi" w:hAnsiTheme="majorHAnsi"/>
          <w:sz w:val="22"/>
          <w:szCs w:val="22"/>
        </w:rPr>
        <w:t xml:space="preserve">Whistance, Jarrett, Seth Meyer, Wyatt Thompson, and </w:t>
      </w:r>
      <w:proofErr w:type="spellStart"/>
      <w:r w:rsidRPr="006C3C9F">
        <w:rPr>
          <w:rFonts w:asciiTheme="majorHAnsi" w:hAnsiTheme="majorHAnsi"/>
          <w:sz w:val="22"/>
          <w:szCs w:val="22"/>
        </w:rPr>
        <w:t>Deepayan</w:t>
      </w:r>
      <w:proofErr w:type="spellEnd"/>
      <w:r w:rsidRPr="006C3C9F">
        <w:rPr>
          <w:rFonts w:asciiTheme="majorHAnsi" w:hAnsiTheme="majorHAnsi"/>
          <w:sz w:val="22"/>
          <w:szCs w:val="22"/>
        </w:rPr>
        <w:t xml:space="preserve"> </w:t>
      </w:r>
      <w:proofErr w:type="spellStart"/>
      <w:r w:rsidRPr="006C3C9F">
        <w:rPr>
          <w:rFonts w:asciiTheme="majorHAnsi" w:hAnsiTheme="majorHAnsi"/>
          <w:sz w:val="22"/>
          <w:szCs w:val="22"/>
        </w:rPr>
        <w:t>Debnath</w:t>
      </w:r>
      <w:proofErr w:type="spellEnd"/>
      <w:r w:rsidRPr="006C3C9F">
        <w:rPr>
          <w:rFonts w:asciiTheme="majorHAnsi" w:hAnsiTheme="majorHAnsi"/>
          <w:sz w:val="22"/>
          <w:szCs w:val="22"/>
        </w:rPr>
        <w:t>. “Year-Round E15: Could a Policy to Expand E15 Use Become a Disincentive Unto Itself?” Selected for presentation at the Annual Meeting of the International Agricultural Trade Research Consortium. Washington, D.C. December 8-10, 2019.</w:t>
      </w:r>
    </w:p>
    <w:sectPr w:rsidR="006C3C9F" w:rsidRPr="00DC149D" w:rsidSect="00AC3CE6">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82ACF" w14:textId="77777777" w:rsidR="00793F60" w:rsidRDefault="00793F60" w:rsidP="00615CC0">
      <w:r>
        <w:separator/>
      </w:r>
    </w:p>
  </w:endnote>
  <w:endnote w:type="continuationSeparator" w:id="0">
    <w:p w14:paraId="1C46F106" w14:textId="77777777" w:rsidR="00793F60" w:rsidRDefault="00793F60" w:rsidP="00615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23231" w14:textId="2F05C5F4" w:rsidR="00615CC0" w:rsidRDefault="00615CC0">
    <w:pPr>
      <w:pStyle w:val="Footer"/>
      <w:jc w:val="center"/>
    </w:pPr>
  </w:p>
  <w:p w14:paraId="7A2289A5" w14:textId="77777777" w:rsidR="00615CC0" w:rsidRDefault="00615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90D5E" w14:textId="77777777" w:rsidR="00793F60" w:rsidRDefault="00793F60" w:rsidP="00615CC0">
      <w:r>
        <w:separator/>
      </w:r>
    </w:p>
  </w:footnote>
  <w:footnote w:type="continuationSeparator" w:id="0">
    <w:p w14:paraId="1B6005DB" w14:textId="77777777" w:rsidR="00793F60" w:rsidRDefault="00793F60" w:rsidP="00615C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77A77"/>
    <w:multiLevelType w:val="hybridMultilevel"/>
    <w:tmpl w:val="F07C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B3328"/>
    <w:multiLevelType w:val="hybridMultilevel"/>
    <w:tmpl w:val="156645D2"/>
    <w:lvl w:ilvl="0" w:tplc="091E3A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4C06BF6"/>
    <w:multiLevelType w:val="hybridMultilevel"/>
    <w:tmpl w:val="C8C027E8"/>
    <w:lvl w:ilvl="0" w:tplc="4D90093E">
      <w:numFmt w:val="bullet"/>
      <w:lvlText w:val=""/>
      <w:lvlJc w:val="left"/>
      <w:pPr>
        <w:ind w:left="1800" w:hanging="360"/>
      </w:pPr>
      <w:rPr>
        <w:rFonts w:ascii="Symbol" w:eastAsiaTheme="minorEastAsia" w:hAnsi="Symbol" w:cstheme="minorBidi" w:hint="default"/>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B572C37"/>
    <w:multiLevelType w:val="hybridMultilevel"/>
    <w:tmpl w:val="0388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6FC"/>
    <w:rsid w:val="00003BC7"/>
    <w:rsid w:val="00006466"/>
    <w:rsid w:val="000319B4"/>
    <w:rsid w:val="000569EA"/>
    <w:rsid w:val="000576EB"/>
    <w:rsid w:val="000938BF"/>
    <w:rsid w:val="000B30A2"/>
    <w:rsid w:val="000C174E"/>
    <w:rsid w:val="000E2E01"/>
    <w:rsid w:val="000F6742"/>
    <w:rsid w:val="001328C5"/>
    <w:rsid w:val="00136F66"/>
    <w:rsid w:val="00143052"/>
    <w:rsid w:val="001432F5"/>
    <w:rsid w:val="00185D11"/>
    <w:rsid w:val="001A698F"/>
    <w:rsid w:val="002334AD"/>
    <w:rsid w:val="00235F50"/>
    <w:rsid w:val="00241818"/>
    <w:rsid w:val="00244D1A"/>
    <w:rsid w:val="00255834"/>
    <w:rsid w:val="00270A0B"/>
    <w:rsid w:val="00280D82"/>
    <w:rsid w:val="002E6C50"/>
    <w:rsid w:val="002F2B3E"/>
    <w:rsid w:val="0030617F"/>
    <w:rsid w:val="0031023E"/>
    <w:rsid w:val="00320E52"/>
    <w:rsid w:val="00350E7D"/>
    <w:rsid w:val="00382D5C"/>
    <w:rsid w:val="003B4224"/>
    <w:rsid w:val="003C7F32"/>
    <w:rsid w:val="003D5B2B"/>
    <w:rsid w:val="003E3A99"/>
    <w:rsid w:val="00414139"/>
    <w:rsid w:val="004212A8"/>
    <w:rsid w:val="00422EEE"/>
    <w:rsid w:val="00423E68"/>
    <w:rsid w:val="004560C1"/>
    <w:rsid w:val="00471ED1"/>
    <w:rsid w:val="004A5CC1"/>
    <w:rsid w:val="004B0809"/>
    <w:rsid w:val="004C1232"/>
    <w:rsid w:val="004E2B73"/>
    <w:rsid w:val="00503E69"/>
    <w:rsid w:val="005146A8"/>
    <w:rsid w:val="00522A74"/>
    <w:rsid w:val="00531DBD"/>
    <w:rsid w:val="00536F79"/>
    <w:rsid w:val="005436C5"/>
    <w:rsid w:val="00585A49"/>
    <w:rsid w:val="00594014"/>
    <w:rsid w:val="00594863"/>
    <w:rsid w:val="005D259D"/>
    <w:rsid w:val="005D61D4"/>
    <w:rsid w:val="005E0333"/>
    <w:rsid w:val="00615CC0"/>
    <w:rsid w:val="006241CF"/>
    <w:rsid w:val="0063023B"/>
    <w:rsid w:val="00633965"/>
    <w:rsid w:val="00665908"/>
    <w:rsid w:val="00677844"/>
    <w:rsid w:val="006812B4"/>
    <w:rsid w:val="0068580D"/>
    <w:rsid w:val="00693CED"/>
    <w:rsid w:val="006A41A6"/>
    <w:rsid w:val="006A559C"/>
    <w:rsid w:val="006B4DD0"/>
    <w:rsid w:val="006C3C9F"/>
    <w:rsid w:val="006D7EF4"/>
    <w:rsid w:val="006E719A"/>
    <w:rsid w:val="006F3C41"/>
    <w:rsid w:val="00731B48"/>
    <w:rsid w:val="00760D20"/>
    <w:rsid w:val="00767B43"/>
    <w:rsid w:val="0079053A"/>
    <w:rsid w:val="00793F60"/>
    <w:rsid w:val="007A7038"/>
    <w:rsid w:val="007B79EA"/>
    <w:rsid w:val="007D410C"/>
    <w:rsid w:val="007D4654"/>
    <w:rsid w:val="007E00F3"/>
    <w:rsid w:val="007F6035"/>
    <w:rsid w:val="00800919"/>
    <w:rsid w:val="00803E03"/>
    <w:rsid w:val="0080525A"/>
    <w:rsid w:val="00822099"/>
    <w:rsid w:val="008305A0"/>
    <w:rsid w:val="00833298"/>
    <w:rsid w:val="00845871"/>
    <w:rsid w:val="00862738"/>
    <w:rsid w:val="00862BCE"/>
    <w:rsid w:val="00874E02"/>
    <w:rsid w:val="0088027A"/>
    <w:rsid w:val="0088337D"/>
    <w:rsid w:val="00894D4D"/>
    <w:rsid w:val="008A3618"/>
    <w:rsid w:val="008B4119"/>
    <w:rsid w:val="008B45E4"/>
    <w:rsid w:val="008D617A"/>
    <w:rsid w:val="00936F3F"/>
    <w:rsid w:val="0096454F"/>
    <w:rsid w:val="00980DB5"/>
    <w:rsid w:val="00981C2D"/>
    <w:rsid w:val="009D33EB"/>
    <w:rsid w:val="009D676F"/>
    <w:rsid w:val="009E3D23"/>
    <w:rsid w:val="009F2180"/>
    <w:rsid w:val="00A178FD"/>
    <w:rsid w:val="00A33849"/>
    <w:rsid w:val="00A34363"/>
    <w:rsid w:val="00A36BDD"/>
    <w:rsid w:val="00A42527"/>
    <w:rsid w:val="00A65E1E"/>
    <w:rsid w:val="00A7343A"/>
    <w:rsid w:val="00A80FE8"/>
    <w:rsid w:val="00AA4A16"/>
    <w:rsid w:val="00AA7F55"/>
    <w:rsid w:val="00AC01F5"/>
    <w:rsid w:val="00AC3CE6"/>
    <w:rsid w:val="00AD27D5"/>
    <w:rsid w:val="00AF27C8"/>
    <w:rsid w:val="00B109C7"/>
    <w:rsid w:val="00B405DF"/>
    <w:rsid w:val="00B53344"/>
    <w:rsid w:val="00B83049"/>
    <w:rsid w:val="00B84DF5"/>
    <w:rsid w:val="00B85AF7"/>
    <w:rsid w:val="00B96DD9"/>
    <w:rsid w:val="00BA2873"/>
    <w:rsid w:val="00BE32FF"/>
    <w:rsid w:val="00BF3D56"/>
    <w:rsid w:val="00C16C27"/>
    <w:rsid w:val="00C207E6"/>
    <w:rsid w:val="00C62D9E"/>
    <w:rsid w:val="00C67662"/>
    <w:rsid w:val="00C82AFE"/>
    <w:rsid w:val="00C94769"/>
    <w:rsid w:val="00CA4D8B"/>
    <w:rsid w:val="00CC660C"/>
    <w:rsid w:val="00CC6613"/>
    <w:rsid w:val="00CE56D7"/>
    <w:rsid w:val="00D025EE"/>
    <w:rsid w:val="00D50B19"/>
    <w:rsid w:val="00D734DB"/>
    <w:rsid w:val="00D7421C"/>
    <w:rsid w:val="00D770CB"/>
    <w:rsid w:val="00D95895"/>
    <w:rsid w:val="00DC149D"/>
    <w:rsid w:val="00DC4206"/>
    <w:rsid w:val="00DD0890"/>
    <w:rsid w:val="00DD0E88"/>
    <w:rsid w:val="00DF5CCF"/>
    <w:rsid w:val="00E00BDC"/>
    <w:rsid w:val="00E02E7D"/>
    <w:rsid w:val="00E0519F"/>
    <w:rsid w:val="00E11AAF"/>
    <w:rsid w:val="00E120C7"/>
    <w:rsid w:val="00E261C1"/>
    <w:rsid w:val="00E43635"/>
    <w:rsid w:val="00E57691"/>
    <w:rsid w:val="00E6758C"/>
    <w:rsid w:val="00E747AF"/>
    <w:rsid w:val="00E813B0"/>
    <w:rsid w:val="00E92446"/>
    <w:rsid w:val="00EC63E0"/>
    <w:rsid w:val="00ED7AA2"/>
    <w:rsid w:val="00ED7F02"/>
    <w:rsid w:val="00EE1BBB"/>
    <w:rsid w:val="00F24DF9"/>
    <w:rsid w:val="00F46178"/>
    <w:rsid w:val="00F60D21"/>
    <w:rsid w:val="00F619C2"/>
    <w:rsid w:val="00F636A9"/>
    <w:rsid w:val="00F646FC"/>
    <w:rsid w:val="00FA6E57"/>
    <w:rsid w:val="00FB08F0"/>
    <w:rsid w:val="00FC4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342FA2"/>
  <w14:defaultImageDpi w14:val="300"/>
  <w15:docId w15:val="{630EE7ED-4D9F-4A55-836C-F607E22CC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7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27D5"/>
    <w:rPr>
      <w:rFonts w:ascii="Lucida Grande" w:hAnsi="Lucida Grande" w:cs="Lucida Grande"/>
      <w:sz w:val="18"/>
      <w:szCs w:val="18"/>
    </w:rPr>
  </w:style>
  <w:style w:type="paragraph" w:styleId="ListParagraph">
    <w:name w:val="List Paragraph"/>
    <w:basedOn w:val="Normal"/>
    <w:uiPriority w:val="34"/>
    <w:qFormat/>
    <w:rsid w:val="00594863"/>
    <w:pPr>
      <w:ind w:left="720"/>
      <w:contextualSpacing/>
    </w:pPr>
  </w:style>
  <w:style w:type="paragraph" w:styleId="Header">
    <w:name w:val="header"/>
    <w:basedOn w:val="Normal"/>
    <w:link w:val="HeaderChar"/>
    <w:uiPriority w:val="99"/>
    <w:unhideWhenUsed/>
    <w:rsid w:val="00615CC0"/>
    <w:pPr>
      <w:tabs>
        <w:tab w:val="center" w:pos="4680"/>
        <w:tab w:val="right" w:pos="9360"/>
      </w:tabs>
    </w:pPr>
  </w:style>
  <w:style w:type="character" w:customStyle="1" w:styleId="HeaderChar">
    <w:name w:val="Header Char"/>
    <w:basedOn w:val="DefaultParagraphFont"/>
    <w:link w:val="Header"/>
    <w:uiPriority w:val="99"/>
    <w:rsid w:val="00615CC0"/>
  </w:style>
  <w:style w:type="paragraph" w:styleId="Footer">
    <w:name w:val="footer"/>
    <w:basedOn w:val="Normal"/>
    <w:link w:val="FooterChar"/>
    <w:uiPriority w:val="99"/>
    <w:unhideWhenUsed/>
    <w:rsid w:val="00615CC0"/>
    <w:pPr>
      <w:tabs>
        <w:tab w:val="center" w:pos="4680"/>
        <w:tab w:val="right" w:pos="9360"/>
      </w:tabs>
    </w:pPr>
  </w:style>
  <w:style w:type="character" w:customStyle="1" w:styleId="FooterChar">
    <w:name w:val="Footer Char"/>
    <w:basedOn w:val="DefaultParagraphFont"/>
    <w:link w:val="Footer"/>
    <w:uiPriority w:val="99"/>
    <w:rsid w:val="00615CC0"/>
  </w:style>
  <w:style w:type="table" w:styleId="TableGrid">
    <w:name w:val="Table Grid"/>
    <w:basedOn w:val="TableNormal"/>
    <w:uiPriority w:val="39"/>
    <w:rsid w:val="004A5CC1"/>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71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338166">
      <w:bodyDiv w:val="1"/>
      <w:marLeft w:val="0"/>
      <w:marRight w:val="0"/>
      <w:marTop w:val="0"/>
      <w:marBottom w:val="0"/>
      <w:divBdr>
        <w:top w:val="none" w:sz="0" w:space="0" w:color="auto"/>
        <w:left w:val="none" w:sz="0" w:space="0" w:color="auto"/>
        <w:bottom w:val="none" w:sz="0" w:space="0" w:color="auto"/>
        <w:right w:val="none" w:sz="0" w:space="0" w:color="auto"/>
      </w:divBdr>
    </w:div>
    <w:div w:id="1615870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7896/j.1913" TargetMode="External"/><Relationship Id="rId13" Type="http://schemas.openxmlformats.org/officeDocument/2006/relationships/hyperlink" Target="http://iatrcweb.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fare.org/new-blog/trade2019webina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oicesmagazine.org/choices-magazine/theme-articles/the-economic-impacts-of-trade-retaliation-on-us-agriculture-a-one-year-review/impacts-of-retaliatory-tariffs-on-farm-income-and-government-program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1016/j.gfs.2019.100345" TargetMode="External"/><Relationship Id="rId4" Type="http://schemas.openxmlformats.org/officeDocument/2006/relationships/settings" Target="settings.xml"/><Relationship Id="rId9" Type="http://schemas.openxmlformats.org/officeDocument/2006/relationships/hyperlink" Target="https://doi.org/10.1002/agr.2158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7FFB0-5EAC-4D71-B3D3-0D7C94383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2357</Words>
  <Characters>13439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Texas AgriLife Extension</Company>
  <LinksUpToDate>false</LinksUpToDate>
  <CharactersWithSpaces>15765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Ribera</dc:creator>
  <cp:keywords/>
  <dc:description/>
  <cp:lastModifiedBy>Eric Young</cp:lastModifiedBy>
  <cp:revision>2</cp:revision>
  <cp:lastPrinted>2017-09-27T15:02:00Z</cp:lastPrinted>
  <dcterms:created xsi:type="dcterms:W3CDTF">2020-02-12T21:49:00Z</dcterms:created>
  <dcterms:modified xsi:type="dcterms:W3CDTF">2020-02-12T21:49:00Z</dcterms:modified>
</cp:coreProperties>
</file>