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D6" w:rsidRDefault="00DA1423" w:rsidP="00B32DC4">
      <w:pPr>
        <w:rPr>
          <w:rFonts w:ascii="Calibri" w:hAnsi="Calibri"/>
          <w:color w:val="000000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3304"/>
        <w:gridCol w:w="4431"/>
      </w:tblGrid>
      <w:tr w:rsidR="001F4FEE" w:rsidRPr="00DC05C8" w:rsidTr="00F03896">
        <w:tc>
          <w:tcPr>
            <w:tcW w:w="3304" w:type="dxa"/>
          </w:tcPr>
          <w:p w:rsidR="001F4FEE" w:rsidRPr="00DC05C8" w:rsidRDefault="001F4FEE" w:rsidP="00B56167">
            <w:pPr>
              <w:jc w:val="center"/>
              <w:rPr>
                <w:b/>
              </w:rPr>
            </w:pPr>
            <w:r w:rsidRPr="00DC05C8">
              <w:rPr>
                <w:b/>
              </w:rPr>
              <w:t>Participant</w:t>
            </w:r>
          </w:p>
        </w:tc>
        <w:tc>
          <w:tcPr>
            <w:tcW w:w="4431" w:type="dxa"/>
          </w:tcPr>
          <w:p w:rsidR="001F4FEE" w:rsidRPr="00DC05C8" w:rsidRDefault="001F4FEE" w:rsidP="00B56167">
            <w:pPr>
              <w:jc w:val="center"/>
              <w:rPr>
                <w:b/>
              </w:rPr>
            </w:pPr>
            <w:r w:rsidRPr="00DC05C8">
              <w:rPr>
                <w:b/>
              </w:rPr>
              <w:t>Affiliation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Kwan Choi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Iowa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Amanda Countryman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Colorado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 xml:space="preserve">Karen </w:t>
            </w:r>
            <w:r>
              <w:rPr>
                <w:rFonts w:ascii="Calibri" w:hAnsi="Calibri"/>
                <w:color w:val="000000"/>
              </w:rPr>
              <w:t>Lewis-</w:t>
            </w:r>
            <w:r w:rsidRPr="00AE08CD">
              <w:rPr>
                <w:rFonts w:ascii="Calibri" w:hAnsi="Calibri"/>
                <w:color w:val="000000"/>
              </w:rPr>
              <w:t>DeLong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University</w:t>
            </w:r>
            <w:r w:rsidRPr="00AE08CD">
              <w:t xml:space="preserve"> of Tennesse</w:t>
            </w:r>
            <w:r>
              <w:t>e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Shida Henneberry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Oklahoma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Lynn Kennedy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Louisiana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  <w:lang w:val="es-AR"/>
              </w:rPr>
            </w:pPr>
            <w:r>
              <w:rPr>
                <w:rFonts w:ascii="Calibri" w:hAnsi="Calibri"/>
                <w:color w:val="000000"/>
                <w:lang w:val="es-AR"/>
              </w:rPr>
              <w:t>David Ortega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Michigan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Saleem Shaik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North Dakota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Nelson </w:t>
            </w:r>
            <w:proofErr w:type="spellStart"/>
            <w:r>
              <w:rPr>
                <w:rFonts w:ascii="Calibri" w:hAnsi="Calibri"/>
                <w:color w:val="000000"/>
              </w:rPr>
              <w:t>Villoria</w:t>
            </w:r>
            <w:proofErr w:type="spellEnd"/>
          </w:p>
        </w:tc>
        <w:tc>
          <w:tcPr>
            <w:tcW w:w="4431" w:type="dxa"/>
          </w:tcPr>
          <w:p w:rsidR="00310B32" w:rsidRPr="00AE08CD" w:rsidRDefault="00310B32" w:rsidP="00310B32">
            <w:r>
              <w:t>Kansas State University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Jarrett Whistance</w:t>
            </w:r>
          </w:p>
        </w:tc>
        <w:tc>
          <w:tcPr>
            <w:tcW w:w="4431" w:type="dxa"/>
          </w:tcPr>
          <w:p w:rsidR="00310B32" w:rsidRPr="00AE08CD" w:rsidRDefault="00310B32" w:rsidP="00310B32">
            <w:r>
              <w:t>University</w:t>
            </w:r>
            <w:r w:rsidRPr="00AE08CD">
              <w:t xml:space="preserve"> of Missouri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E08CD">
              <w:rPr>
                <w:rFonts w:ascii="Calibri" w:hAnsi="Calibri"/>
                <w:color w:val="000000"/>
              </w:rPr>
              <w:t>Osei</w:t>
            </w:r>
            <w:proofErr w:type="spellEnd"/>
            <w:r w:rsidRPr="00AE08C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E08CD">
              <w:rPr>
                <w:rFonts w:ascii="Calibri" w:hAnsi="Calibri"/>
                <w:color w:val="000000"/>
              </w:rPr>
              <w:t>Yeboah</w:t>
            </w:r>
            <w:proofErr w:type="spellEnd"/>
          </w:p>
        </w:tc>
        <w:tc>
          <w:tcPr>
            <w:tcW w:w="4431" w:type="dxa"/>
          </w:tcPr>
          <w:p w:rsidR="00310B32" w:rsidRPr="00AE08CD" w:rsidRDefault="00310B32" w:rsidP="00310B32">
            <w:r w:rsidRPr="00AE08CD">
              <w:t>North Carolina A&amp;T Univ.</w:t>
            </w:r>
          </w:p>
        </w:tc>
      </w:tr>
      <w:tr w:rsidR="00310B32" w:rsidRPr="00AE08CD" w:rsidTr="00F03896">
        <w:tc>
          <w:tcPr>
            <w:tcW w:w="3304" w:type="dxa"/>
          </w:tcPr>
          <w:p w:rsidR="00310B32" w:rsidRPr="00AE08CD" w:rsidRDefault="00310B32" w:rsidP="00310B32">
            <w:pPr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Eric Young</w:t>
            </w:r>
          </w:p>
        </w:tc>
        <w:tc>
          <w:tcPr>
            <w:tcW w:w="4431" w:type="dxa"/>
          </w:tcPr>
          <w:p w:rsidR="00310B32" w:rsidRPr="00AE08CD" w:rsidRDefault="00310B32" w:rsidP="00310B32">
            <w:r w:rsidRPr="00AE08CD">
              <w:t>State Ag Experiment Station Directors</w:t>
            </w:r>
          </w:p>
        </w:tc>
      </w:tr>
    </w:tbl>
    <w:p w:rsidR="00B32DC4" w:rsidRDefault="00B32DC4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EC390B" w:rsidRPr="00E7309B" w:rsidRDefault="00EC390B" w:rsidP="00B32DC4">
      <w:pPr>
        <w:rPr>
          <w:b/>
        </w:rPr>
      </w:pPr>
      <w:r w:rsidRPr="00E7309B">
        <w:rPr>
          <w:b/>
        </w:rPr>
        <w:t xml:space="preserve">Monday </w:t>
      </w:r>
      <w:r w:rsidR="00070805" w:rsidRPr="00E7309B">
        <w:rPr>
          <w:b/>
        </w:rPr>
        <w:t>October 29</w:t>
      </w:r>
      <w:r w:rsidRPr="00E7309B">
        <w:rPr>
          <w:b/>
        </w:rPr>
        <w:t>, 2018</w:t>
      </w:r>
    </w:p>
    <w:p w:rsidR="00EC390B" w:rsidRDefault="00EC390B" w:rsidP="00B32DC4"/>
    <w:p w:rsidR="00EC390B" w:rsidRDefault="00EC390B" w:rsidP="00B32DC4">
      <w:r>
        <w:t xml:space="preserve">Welcoming comments </w:t>
      </w:r>
    </w:p>
    <w:p w:rsidR="00EC390B" w:rsidRDefault="00EC390B" w:rsidP="00B32DC4"/>
    <w:p w:rsidR="00F03896" w:rsidRDefault="00F03896" w:rsidP="00B32DC4">
      <w:r>
        <w:t>Eric Young</w:t>
      </w:r>
    </w:p>
    <w:p w:rsidR="007575A7" w:rsidRDefault="007575A7" w:rsidP="007575A7">
      <w:r>
        <w:t>Appropriations – on hold until after elections</w:t>
      </w:r>
    </w:p>
    <w:p w:rsidR="007575A7" w:rsidRDefault="007575A7" w:rsidP="007575A7">
      <w:r>
        <w:t>CR until Dec 7</w:t>
      </w:r>
      <w:r w:rsidRPr="007C44DC">
        <w:rPr>
          <w:vertAlign w:val="superscript"/>
        </w:rPr>
        <w:t>th</w:t>
      </w:r>
      <w:r>
        <w:t xml:space="preserve"> did not include USDA</w:t>
      </w:r>
    </w:p>
    <w:p w:rsidR="007575A7" w:rsidRDefault="007575A7" w:rsidP="007575A7">
      <w:r>
        <w:t>Budget – Hatch, Smith-Lever, and AFRI</w:t>
      </w:r>
    </w:p>
    <w:p w:rsidR="007575A7" w:rsidRDefault="007575A7" w:rsidP="007575A7">
      <w:r>
        <w:tab/>
        <w:t xml:space="preserve">House wants to raise each by </w:t>
      </w:r>
      <w:r w:rsidR="00E34689">
        <w:t>$</w:t>
      </w:r>
      <w:r>
        <w:t>15 million</w:t>
      </w:r>
    </w:p>
    <w:p w:rsidR="007575A7" w:rsidRDefault="007575A7" w:rsidP="007575A7">
      <w:r>
        <w:tab/>
        <w:t xml:space="preserve">Senate wants to raise AFRI by </w:t>
      </w:r>
      <w:r w:rsidR="00E34689">
        <w:t>$</w:t>
      </w:r>
      <w:r>
        <w:t>5 million</w:t>
      </w:r>
    </w:p>
    <w:p w:rsidR="007575A7" w:rsidRDefault="007575A7" w:rsidP="007575A7">
      <w:r>
        <w:tab/>
        <w:t xml:space="preserve">1890’s extension – Senate by </w:t>
      </w:r>
      <w:r w:rsidR="00E34689">
        <w:t>$</w:t>
      </w:r>
      <w:r>
        <w:t>3 million</w:t>
      </w:r>
    </w:p>
    <w:p w:rsidR="007575A7" w:rsidRDefault="007575A7" w:rsidP="007575A7">
      <w:r>
        <w:tab/>
        <w:t xml:space="preserve">1890’s research – Senate by </w:t>
      </w:r>
      <w:r w:rsidR="00E34689">
        <w:t>$</w:t>
      </w:r>
      <w:r>
        <w:t>1 million</w:t>
      </w:r>
    </w:p>
    <w:p w:rsidR="007575A7" w:rsidRDefault="007575A7" w:rsidP="007575A7">
      <w:r>
        <w:tab/>
      </w:r>
      <w:proofErr w:type="gramStart"/>
      <w:r>
        <w:t>Most smaller</w:t>
      </w:r>
      <w:proofErr w:type="gramEnd"/>
      <w:r>
        <w:t xml:space="preserve"> budget lines stayed roughly the same</w:t>
      </w:r>
    </w:p>
    <w:p w:rsidR="007575A7" w:rsidRDefault="00E7309B" w:rsidP="007575A7">
      <w:r>
        <w:tab/>
      </w:r>
      <w:r>
        <w:tab/>
        <w:t>Some internal work on try</w:t>
      </w:r>
      <w:r w:rsidR="007575A7">
        <w:t xml:space="preserve">ing to merge </w:t>
      </w:r>
      <w:r>
        <w:t xml:space="preserve">budget </w:t>
      </w:r>
      <w:r w:rsidR="007575A7">
        <w:t>lines while trying to maintain integrity of individual projects</w:t>
      </w:r>
    </w:p>
    <w:p w:rsidR="007575A7" w:rsidRDefault="007575A7" w:rsidP="007575A7">
      <w:r>
        <w:t>Authorizations/Farm Bill</w:t>
      </w:r>
    </w:p>
    <w:p w:rsidR="007575A7" w:rsidRDefault="007575A7" w:rsidP="007575A7">
      <w:r>
        <w:tab/>
        <w:t>SNAP requirements held up progress</w:t>
      </w:r>
    </w:p>
    <w:p w:rsidR="007575A7" w:rsidRDefault="007575A7" w:rsidP="007575A7">
      <w:r>
        <w:tab/>
        <w:t>On hold until after elections</w:t>
      </w:r>
    </w:p>
    <w:p w:rsidR="007575A7" w:rsidRDefault="007575A7" w:rsidP="007575A7">
      <w:r>
        <w:tab/>
        <w:t xml:space="preserve">SNAP ED – administered differently in each state, push to have land-grant extensions administer it. </w:t>
      </w:r>
    </w:p>
    <w:p w:rsidR="007575A7" w:rsidRDefault="007575A7" w:rsidP="007575A7">
      <w:r>
        <w:tab/>
        <w:t>Land grants got most of what they wanted in the Farm Bill language</w:t>
      </w:r>
      <w:r>
        <w:tab/>
      </w:r>
    </w:p>
    <w:p w:rsidR="007575A7" w:rsidRDefault="007575A7" w:rsidP="007575A7">
      <w:r>
        <w:t>NIFA-ERS move</w:t>
      </w:r>
    </w:p>
    <w:p w:rsidR="007575A7" w:rsidRDefault="007575A7" w:rsidP="007575A7">
      <w:r>
        <w:tab/>
        <w:t>Secretary Perdue proposed moving NIFA and ERS out of Washington DC</w:t>
      </w:r>
    </w:p>
    <w:p w:rsidR="007575A7" w:rsidRDefault="007575A7" w:rsidP="007575A7">
      <w:r>
        <w:tab/>
      </w:r>
      <w:r>
        <w:tab/>
        <w:t>Cost of being in DC</w:t>
      </w:r>
    </w:p>
    <w:p w:rsidR="007575A7" w:rsidRDefault="007575A7" w:rsidP="007575A7">
      <w:r>
        <w:tab/>
      </w:r>
      <w:r>
        <w:tab/>
        <w:t>Harder to recruit/retain</w:t>
      </w:r>
    </w:p>
    <w:p w:rsidR="007575A7" w:rsidRDefault="007575A7" w:rsidP="007575A7">
      <w:r>
        <w:tab/>
      </w:r>
      <w:r>
        <w:tab/>
        <w:t xml:space="preserve">Further from stakeholders </w:t>
      </w:r>
    </w:p>
    <w:p w:rsidR="007575A7" w:rsidRDefault="007575A7" w:rsidP="007575A7">
      <w:r>
        <w:tab/>
        <w:t xml:space="preserve">Arguments against – </w:t>
      </w:r>
    </w:p>
    <w:p w:rsidR="007575A7" w:rsidRDefault="007575A7" w:rsidP="007575A7">
      <w:r>
        <w:tab/>
      </w:r>
      <w:r>
        <w:tab/>
        <w:t>Difficulty maintaining relationships with other agencies in DC</w:t>
      </w:r>
    </w:p>
    <w:p w:rsidR="007575A7" w:rsidRDefault="007575A7" w:rsidP="007575A7">
      <w:r>
        <w:tab/>
      </w:r>
      <w:r>
        <w:tab/>
        <w:t>More difficult to interact – have to go multiple places</w:t>
      </w:r>
    </w:p>
    <w:p w:rsidR="007575A7" w:rsidRDefault="007575A7" w:rsidP="007575A7">
      <w:r>
        <w:lastRenderedPageBreak/>
        <w:tab/>
        <w:t>Expressions of interest</w:t>
      </w:r>
    </w:p>
    <w:p w:rsidR="007575A7" w:rsidRDefault="007575A7" w:rsidP="007575A7">
      <w:r>
        <w:tab/>
      </w:r>
      <w:r>
        <w:tab/>
        <w:t xml:space="preserve">136 proposals received </w:t>
      </w:r>
    </w:p>
    <w:p w:rsidR="007575A7" w:rsidRDefault="007575A7" w:rsidP="007575A7">
      <w:r>
        <w:tab/>
      </w:r>
      <w:r>
        <w:tab/>
        <w:t>Most states</w:t>
      </w:r>
    </w:p>
    <w:p w:rsidR="007575A7" w:rsidRDefault="007575A7" w:rsidP="007575A7">
      <w:r>
        <w:tab/>
        <w:t>Reorganization of ERS back under the Chief Economist</w:t>
      </w:r>
    </w:p>
    <w:p w:rsidR="007575A7" w:rsidRDefault="007575A7" w:rsidP="007575A7">
      <w:r>
        <w:tab/>
      </w:r>
      <w:r>
        <w:tab/>
        <w:t>Long term research might take a hit by rapid-fire secretary requests</w:t>
      </w:r>
    </w:p>
    <w:p w:rsidR="007575A7" w:rsidRDefault="007575A7" w:rsidP="007575A7">
      <w:r>
        <w:tab/>
      </w:r>
      <w:r>
        <w:tab/>
        <w:t>Potential for bias</w:t>
      </w:r>
    </w:p>
    <w:p w:rsidR="00F03896" w:rsidRDefault="00F03896" w:rsidP="00B32DC4"/>
    <w:p w:rsidR="00821C62" w:rsidRDefault="00821C62" w:rsidP="00B32DC4"/>
    <w:p w:rsidR="007575A7" w:rsidRDefault="007575A7" w:rsidP="007575A7">
      <w:r>
        <w:t>Collaborative projects</w:t>
      </w:r>
    </w:p>
    <w:p w:rsidR="007575A7" w:rsidRDefault="00D06ADA" w:rsidP="007575A7">
      <w:r>
        <w:tab/>
        <w:t>2-3 synergistic projects with</w:t>
      </w:r>
      <w:r w:rsidR="007575A7">
        <w:t xml:space="preserve"> some sort of output in mind</w:t>
      </w:r>
    </w:p>
    <w:p w:rsidR="007575A7" w:rsidRDefault="007575A7" w:rsidP="007575A7">
      <w:r>
        <w:tab/>
        <w:t>ASSA meetings on NAFTA (invited paper session)</w:t>
      </w:r>
    </w:p>
    <w:p w:rsidR="007575A7" w:rsidRDefault="007575A7" w:rsidP="007575A7">
      <w:r>
        <w:tab/>
      </w:r>
      <w:r>
        <w:tab/>
        <w:t>Lynn – exchange rates</w:t>
      </w:r>
    </w:p>
    <w:p w:rsidR="007575A7" w:rsidRDefault="007575A7" w:rsidP="007575A7">
      <w:r>
        <w:tab/>
      </w:r>
      <w:r>
        <w:tab/>
      </w:r>
      <w:r>
        <w:tab/>
        <w:t xml:space="preserve">Trade simulation model; 5 scenarios, game theoretic </w:t>
      </w:r>
    </w:p>
    <w:p w:rsidR="007575A7" w:rsidRDefault="007575A7" w:rsidP="007575A7">
      <w:r>
        <w:tab/>
      </w:r>
      <w:r>
        <w:tab/>
      </w:r>
      <w:r>
        <w:tab/>
        <w:t>Nash equilibrium</w:t>
      </w:r>
      <w:r w:rsidR="00E7309B">
        <w:t xml:space="preserve"> under different exchange rates</w:t>
      </w:r>
    </w:p>
    <w:p w:rsidR="007575A7" w:rsidRDefault="007575A7" w:rsidP="007575A7">
      <w:r>
        <w:tab/>
      </w:r>
      <w:r>
        <w:tab/>
        <w:t>Saleem – efficiency, productivity and trade</w:t>
      </w:r>
    </w:p>
    <w:p w:rsidR="007575A7" w:rsidRDefault="007575A7" w:rsidP="007575A7">
      <w:r>
        <w:tab/>
      </w:r>
      <w:r>
        <w:tab/>
        <w:t xml:space="preserve">Luis – data with </w:t>
      </w:r>
      <w:proofErr w:type="spellStart"/>
      <w:proofErr w:type="gramStart"/>
      <w:r>
        <w:t>mexico</w:t>
      </w:r>
      <w:proofErr w:type="spellEnd"/>
      <w:proofErr w:type="gramEnd"/>
    </w:p>
    <w:p w:rsidR="007575A7" w:rsidRDefault="00D06ADA" w:rsidP="007575A7">
      <w:r>
        <w:tab/>
      </w:r>
      <w:r>
        <w:tab/>
        <w:t>Jim and Troy – tomatoes</w:t>
      </w:r>
    </w:p>
    <w:p w:rsidR="007575A7" w:rsidRDefault="007575A7" w:rsidP="007575A7">
      <w:r>
        <w:tab/>
      </w:r>
      <w:r>
        <w:tab/>
      </w:r>
      <w:proofErr w:type="gramStart"/>
      <w:r>
        <w:t>Deliverables  -</w:t>
      </w:r>
      <w:proofErr w:type="gramEnd"/>
      <w:r>
        <w:t xml:space="preserve"> session at Moosejaw, session at AAEA (Troy), special issue/journal article. </w:t>
      </w:r>
    </w:p>
    <w:p w:rsidR="007575A7" w:rsidRDefault="007575A7" w:rsidP="007575A7">
      <w:r>
        <w:tab/>
        <w:t>After Vancouver meetings, special JAFIO issue on food security</w:t>
      </w:r>
    </w:p>
    <w:p w:rsidR="007575A7" w:rsidRDefault="007575A7" w:rsidP="007575A7">
      <w:r>
        <w:t>Troy had panel</w:t>
      </w:r>
      <w:r w:rsidR="00D06ADA">
        <w:t xml:space="preserve"> at 2018 AAEA</w:t>
      </w:r>
    </w:p>
    <w:p w:rsidR="007575A7" w:rsidRDefault="007575A7" w:rsidP="007575A7">
      <w:r>
        <w:tab/>
        <w:t>Ian, Luis, Dan Sumner, Andrew</w:t>
      </w:r>
    </w:p>
    <w:p w:rsidR="00D06ADA" w:rsidRDefault="00D06ADA" w:rsidP="007575A7"/>
    <w:p w:rsidR="007575A7" w:rsidRDefault="007575A7" w:rsidP="007575A7">
      <w:r>
        <w:t>Meetings for 2019</w:t>
      </w:r>
    </w:p>
    <w:p w:rsidR="007575A7" w:rsidRDefault="007575A7" w:rsidP="007575A7">
      <w:r>
        <w:tab/>
        <w:t>Spri</w:t>
      </w:r>
      <w:r w:rsidR="00D06ADA">
        <w:t>ng meeting – some interest, but travel expenses are an issue for many. In the end, springe meeting idea was shelved in favor of linking with 2019 IATRC meeting.</w:t>
      </w:r>
    </w:p>
    <w:p w:rsidR="007575A7" w:rsidRDefault="007575A7" w:rsidP="007575A7">
      <w:r>
        <w:tab/>
        <w:t>Meeting with IATRC</w:t>
      </w:r>
    </w:p>
    <w:p w:rsidR="007575A7" w:rsidRDefault="00D06ADA" w:rsidP="007575A7">
      <w:r>
        <w:tab/>
      </w:r>
      <w:r>
        <w:tab/>
        <w:t>Link Alvaro with</w:t>
      </w:r>
      <w:r w:rsidR="007575A7">
        <w:t xml:space="preserve"> Missy Sullivan to coordinate rooms/etc.</w:t>
      </w:r>
    </w:p>
    <w:p w:rsidR="007575A7" w:rsidRDefault="007575A7" w:rsidP="007575A7">
      <w:r>
        <w:tab/>
      </w:r>
      <w:r>
        <w:tab/>
      </w:r>
      <w:r w:rsidR="00D06ADA">
        <w:tab/>
        <w:t xml:space="preserve">Work with Lynn, Amanda, </w:t>
      </w:r>
      <w:proofErr w:type="gramStart"/>
      <w:r w:rsidR="00D06ADA">
        <w:t>Nelson</w:t>
      </w:r>
      <w:proofErr w:type="gramEnd"/>
      <w:r w:rsidR="00D06ADA">
        <w:t xml:space="preserve"> to organize S-1072 track session</w:t>
      </w:r>
    </w:p>
    <w:p w:rsidR="007575A7" w:rsidRDefault="007575A7" w:rsidP="007575A7">
      <w:r>
        <w:tab/>
      </w:r>
      <w:r>
        <w:tab/>
        <w:t>Afternoon after IATRC adjourns</w:t>
      </w:r>
      <w:r w:rsidR="00D06ADA">
        <w:t>, maybe another half day</w:t>
      </w:r>
    </w:p>
    <w:p w:rsidR="007575A7" w:rsidRDefault="007575A7" w:rsidP="007575A7">
      <w:r>
        <w:tab/>
        <w:t>Have a session – TBD</w:t>
      </w:r>
    </w:p>
    <w:p w:rsidR="007575A7" w:rsidRDefault="007575A7" w:rsidP="007575A7">
      <w:r>
        <w:tab/>
      </w:r>
      <w:r>
        <w:tab/>
        <w:t>Special issue with Choices next year, talk to Amanda</w:t>
      </w:r>
    </w:p>
    <w:p w:rsidR="00D06ADA" w:rsidRDefault="007575A7" w:rsidP="007575A7">
      <w:r>
        <w:tab/>
      </w:r>
      <w:r>
        <w:tab/>
      </w:r>
      <w:r w:rsidR="00D06ADA">
        <w:t xml:space="preserve">Discuss topics at AAEA in summer 2019. </w:t>
      </w:r>
    </w:p>
    <w:p w:rsidR="007575A7" w:rsidRDefault="00D06ADA" w:rsidP="00D06ADA">
      <w:pPr>
        <w:ind w:left="1440" w:firstLine="720"/>
      </w:pPr>
      <w:r>
        <w:t>Karen offered to organize an</w:t>
      </w:r>
      <w:r w:rsidR="007575A7">
        <w:t xml:space="preserve"> S-1072 dinner</w:t>
      </w:r>
      <w:r>
        <w:t xml:space="preserve"> for those who are interested</w:t>
      </w:r>
      <w:r w:rsidR="007575A7">
        <w:t xml:space="preserve"> </w:t>
      </w:r>
    </w:p>
    <w:p w:rsidR="007575A7" w:rsidRDefault="007575A7" w:rsidP="007575A7">
      <w:r>
        <w:tab/>
        <w:t>Two hour business meeting</w:t>
      </w:r>
    </w:p>
    <w:p w:rsidR="007575A7" w:rsidRDefault="007575A7" w:rsidP="007575A7">
      <w:r>
        <w:tab/>
        <w:t>More attendance</w:t>
      </w:r>
    </w:p>
    <w:p w:rsidR="007575A7" w:rsidRDefault="007575A7" w:rsidP="007575A7">
      <w:r>
        <w:tab/>
        <w:t xml:space="preserve">Professional growth, new knowledge, </w:t>
      </w:r>
      <w:r w:rsidR="00D06ADA">
        <w:t xml:space="preserve">etc. </w:t>
      </w:r>
    </w:p>
    <w:p w:rsidR="007575A7" w:rsidRDefault="00D06ADA" w:rsidP="007575A7">
      <w:r>
        <w:t>Eric was asked whether there was a preference of deliverables</w:t>
      </w:r>
    </w:p>
    <w:p w:rsidR="007575A7" w:rsidRDefault="007575A7" w:rsidP="007575A7">
      <w:r>
        <w:tab/>
        <w:t>Depends on audience that</w:t>
      </w:r>
      <w:r w:rsidR="00D06ADA">
        <w:t xml:space="preserve"> i</w:t>
      </w:r>
      <w:r>
        <w:t xml:space="preserve">s reached. </w:t>
      </w:r>
    </w:p>
    <w:p w:rsidR="007575A7" w:rsidRDefault="007575A7" w:rsidP="007575A7">
      <w:r>
        <w:tab/>
        <w:t>C</w:t>
      </w:r>
      <w:r w:rsidR="00D06ADA">
        <w:t>onferences look better if there i</w:t>
      </w:r>
      <w:r>
        <w:t>s a proceedings</w:t>
      </w:r>
      <w:r w:rsidR="00D06ADA">
        <w:t xml:space="preserve"> issue</w:t>
      </w:r>
    </w:p>
    <w:p w:rsidR="007575A7" w:rsidRDefault="007575A7" w:rsidP="007575A7">
      <w:r>
        <w:tab/>
        <w:t>Special issues, reports tend to reach more people = bigger impact</w:t>
      </w:r>
      <w:r w:rsidR="00D06ADA">
        <w:t xml:space="preserve"> = more preferred</w:t>
      </w:r>
    </w:p>
    <w:p w:rsidR="007575A7" w:rsidRDefault="007575A7" w:rsidP="007575A7">
      <w:r>
        <w:t xml:space="preserve">Troy </w:t>
      </w:r>
      <w:r w:rsidR="00D06ADA">
        <w:t xml:space="preserve">is planning to propose </w:t>
      </w:r>
      <w:r>
        <w:t>another panel for S</w:t>
      </w:r>
      <w:r w:rsidR="00D06ADA">
        <w:t>AEA/AAEA meetings – topic TBD</w:t>
      </w:r>
      <w:r>
        <w:t xml:space="preserve"> </w:t>
      </w:r>
    </w:p>
    <w:p w:rsidR="007575A7" w:rsidRDefault="007575A7" w:rsidP="007575A7">
      <w:r>
        <w:tab/>
        <w:t>“What is New NAFTA?”</w:t>
      </w:r>
    </w:p>
    <w:p w:rsidR="007575A7" w:rsidRDefault="007575A7" w:rsidP="00E7309B">
      <w:pPr>
        <w:ind w:left="720" w:firstLine="720"/>
      </w:pPr>
      <w:r>
        <w:t>Ian Sheldon</w:t>
      </w:r>
      <w:r w:rsidR="00E7309B">
        <w:t xml:space="preserve"> proposed</w:t>
      </w:r>
      <w:r>
        <w:t xml:space="preserve"> as a</w:t>
      </w:r>
      <w:r w:rsidR="00E7309B">
        <w:t xml:space="preserve"> potential</w:t>
      </w:r>
      <w:r>
        <w:t xml:space="preserve"> moderator</w:t>
      </w:r>
    </w:p>
    <w:p w:rsidR="007575A7" w:rsidRDefault="00E7309B" w:rsidP="00E7309B">
      <w:pPr>
        <w:ind w:firstLine="720"/>
      </w:pPr>
      <w:r>
        <w:t>Trade and politics</w:t>
      </w:r>
    </w:p>
    <w:p w:rsidR="007575A7" w:rsidRDefault="007575A7" w:rsidP="00E7309B">
      <w:pPr>
        <w:ind w:firstLine="720"/>
      </w:pPr>
      <w:r>
        <w:t>Cost of tariff war in terms of lost market share</w:t>
      </w:r>
    </w:p>
    <w:p w:rsidR="007575A7" w:rsidRDefault="007575A7" w:rsidP="00E7309B">
      <w:pPr>
        <w:ind w:firstLine="720"/>
      </w:pPr>
      <w:r>
        <w:lastRenderedPageBreak/>
        <w:t>Food security</w:t>
      </w:r>
    </w:p>
    <w:p w:rsidR="007575A7" w:rsidRDefault="007575A7" w:rsidP="00E7309B">
      <w:pPr>
        <w:ind w:firstLine="720"/>
      </w:pPr>
      <w:r>
        <w:t xml:space="preserve">Coupling payments </w:t>
      </w:r>
    </w:p>
    <w:p w:rsidR="00E7309B" w:rsidRDefault="00E7309B" w:rsidP="007575A7"/>
    <w:p w:rsidR="007575A7" w:rsidRDefault="00E7309B" w:rsidP="007575A7">
      <w:r>
        <w:t xml:space="preserve">Amanda put in a plug for 2019 </w:t>
      </w:r>
      <w:r w:rsidR="007575A7">
        <w:t xml:space="preserve">WAEA </w:t>
      </w:r>
      <w:r>
        <w:t xml:space="preserve">conference </w:t>
      </w:r>
      <w:r w:rsidR="007575A7">
        <w:t>in Idaho (end of June)</w:t>
      </w:r>
    </w:p>
    <w:p w:rsidR="007575A7" w:rsidRDefault="007575A7" w:rsidP="007575A7">
      <w:r>
        <w:tab/>
        <w:t xml:space="preserve">Laid back </w:t>
      </w:r>
    </w:p>
    <w:p w:rsidR="007575A7" w:rsidRDefault="007575A7" w:rsidP="007575A7">
      <w:r>
        <w:tab/>
        <w:t>Good place for grad students to present</w:t>
      </w:r>
    </w:p>
    <w:p w:rsidR="00E7309B" w:rsidRDefault="00E7309B" w:rsidP="007575A7"/>
    <w:p w:rsidR="007575A7" w:rsidRDefault="007575A7" w:rsidP="007575A7">
      <w:r>
        <w:t xml:space="preserve">Grant proposals – </w:t>
      </w:r>
      <w:r w:rsidR="00E7309B">
        <w:t xml:space="preserve">Saleem put forward the idea of potential </w:t>
      </w:r>
      <w:r>
        <w:t>joint effort</w:t>
      </w:r>
      <w:r w:rsidR="00E7309B">
        <w:t>s</w:t>
      </w:r>
    </w:p>
    <w:p w:rsidR="007575A7" w:rsidRDefault="007575A7" w:rsidP="007575A7">
      <w:r>
        <w:tab/>
        <w:t xml:space="preserve">Multi-state projects get </w:t>
      </w:r>
      <w:r w:rsidR="00E7309B">
        <w:t>“</w:t>
      </w:r>
      <w:r>
        <w:t>bonus points</w:t>
      </w:r>
      <w:r w:rsidR="00E7309B">
        <w:t>”</w:t>
      </w:r>
    </w:p>
    <w:p w:rsidR="00E7309B" w:rsidRDefault="00E7309B" w:rsidP="007575A7"/>
    <w:p w:rsidR="007575A7" w:rsidRDefault="00E7309B" w:rsidP="007575A7">
      <w:r>
        <w:t>Suggestion was made to r</w:t>
      </w:r>
      <w:r w:rsidR="007575A7">
        <w:t xml:space="preserve">eset email list to </w:t>
      </w:r>
      <w:r>
        <w:t>NIMMS</w:t>
      </w:r>
      <w:r w:rsidR="007575A7">
        <w:t xml:space="preserve"> list of </w:t>
      </w:r>
      <w:r>
        <w:t xml:space="preserve">S-1072 </w:t>
      </w:r>
      <w:r w:rsidR="007575A7">
        <w:t>participants</w:t>
      </w:r>
    </w:p>
    <w:p w:rsidR="007575A7" w:rsidRDefault="00E7309B" w:rsidP="007575A7">
      <w:r>
        <w:tab/>
        <w:t>Include T</w:t>
      </w:r>
      <w:r w:rsidR="007575A7">
        <w:t>roy if he joins</w:t>
      </w:r>
    </w:p>
    <w:p w:rsidR="007575A7" w:rsidRDefault="007575A7" w:rsidP="007575A7">
      <w:r>
        <w:tab/>
        <w:t xml:space="preserve">Shida Henneberry </w:t>
      </w:r>
      <w:r w:rsidR="00E7309B">
        <w:t>would also like to be part of the list</w:t>
      </w:r>
    </w:p>
    <w:p w:rsidR="00E7309B" w:rsidRDefault="00E7309B" w:rsidP="007575A7"/>
    <w:p w:rsidR="00E7309B" w:rsidRDefault="00E7309B" w:rsidP="007575A7">
      <w:r>
        <w:t>Officer n</w:t>
      </w:r>
      <w:r w:rsidR="007575A7">
        <w:t xml:space="preserve">ominations </w:t>
      </w:r>
    </w:p>
    <w:p w:rsidR="00560C88" w:rsidRDefault="00E7309B" w:rsidP="00E7309B">
      <w:pPr>
        <w:ind w:firstLine="720"/>
      </w:pPr>
      <w:r>
        <w:t>Alvaro Durand-Morat agreed to continue his role as chair-elect for 2019</w:t>
      </w:r>
    </w:p>
    <w:p w:rsidR="00E7309B" w:rsidRDefault="00E7309B" w:rsidP="00E7309B">
      <w:pPr>
        <w:ind w:firstLine="720"/>
      </w:pPr>
      <w:r>
        <w:t xml:space="preserve">Nelson </w:t>
      </w:r>
      <w:proofErr w:type="spellStart"/>
      <w:r>
        <w:t>Villoria</w:t>
      </w:r>
      <w:proofErr w:type="spellEnd"/>
      <w:r>
        <w:t xml:space="preserve"> was nominated for the role of 2019 secretary (chair-elect for 2020), and he accepted</w:t>
      </w:r>
    </w:p>
    <w:p w:rsidR="00560C88" w:rsidRDefault="00560C88" w:rsidP="00B32DC4"/>
    <w:p w:rsidR="00DA3C5B" w:rsidRDefault="00DA3C5B" w:rsidP="00B32DC4"/>
    <w:p w:rsidR="00DA3C5B" w:rsidRDefault="00DA3C5B" w:rsidP="00B32DC4"/>
    <w:p w:rsidR="00FC5886" w:rsidRDefault="00FC5886" w:rsidP="00B32DC4"/>
    <w:p w:rsidR="0099243F" w:rsidRPr="001F4FEE" w:rsidRDefault="001F4FEE" w:rsidP="00B32DC4">
      <w:pPr>
        <w:rPr>
          <w:b/>
        </w:rPr>
      </w:pPr>
      <w:r w:rsidRPr="001F4FEE">
        <w:rPr>
          <w:b/>
        </w:rPr>
        <w:t xml:space="preserve">TUESDAY </w:t>
      </w:r>
      <w:r w:rsidR="00E7309B">
        <w:rPr>
          <w:b/>
        </w:rPr>
        <w:t>October 30</w:t>
      </w:r>
      <w:r w:rsidRPr="001F4FEE">
        <w:rPr>
          <w:b/>
        </w:rPr>
        <w:t>, 2018.</w:t>
      </w:r>
    </w:p>
    <w:p w:rsidR="001F4FEE" w:rsidRDefault="001F4FEE" w:rsidP="00B32DC4"/>
    <w:p w:rsidR="001F4FEE" w:rsidRDefault="001F4FEE" w:rsidP="001F4FEE">
      <w:r>
        <w:t>State Reports</w:t>
      </w:r>
    </w:p>
    <w:p w:rsidR="001F4FEE" w:rsidRDefault="001F4FEE" w:rsidP="001F4FEE"/>
    <w:p w:rsidR="0052681F" w:rsidRDefault="0052681F" w:rsidP="002E136C"/>
    <w:p w:rsidR="0052681F" w:rsidRPr="00567E2F" w:rsidRDefault="0052681F" w:rsidP="0052681F">
      <w:pPr>
        <w:pStyle w:val="ListParagraph"/>
        <w:ind w:left="0"/>
      </w:pPr>
    </w:p>
    <w:sectPr w:rsidR="0052681F" w:rsidRPr="00567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23" w:rsidRDefault="00DA1423" w:rsidP="00B56167">
      <w:r>
        <w:separator/>
      </w:r>
    </w:p>
  </w:endnote>
  <w:endnote w:type="continuationSeparator" w:id="0">
    <w:p w:rsidR="00DA1423" w:rsidRDefault="00DA1423" w:rsidP="00B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23" w:rsidRDefault="00DA1423" w:rsidP="00B56167">
      <w:r>
        <w:separator/>
      </w:r>
    </w:p>
  </w:footnote>
  <w:footnote w:type="continuationSeparator" w:id="0">
    <w:p w:rsidR="00DA1423" w:rsidRDefault="00DA1423" w:rsidP="00B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67" w:rsidRDefault="00070805" w:rsidP="00B56167">
    <w:pPr>
      <w:pStyle w:val="Header"/>
      <w:jc w:val="center"/>
    </w:pPr>
    <w:r>
      <w:t>S107</w:t>
    </w:r>
    <w:r w:rsidR="00B56167">
      <w:t>2 Meeting Minutes</w:t>
    </w:r>
  </w:p>
  <w:p w:rsidR="00B56167" w:rsidRDefault="00070805" w:rsidP="00B56167">
    <w:pPr>
      <w:pStyle w:val="Header"/>
      <w:jc w:val="center"/>
    </w:pPr>
    <w:r>
      <w:t>Charleston</w:t>
    </w:r>
    <w:r w:rsidR="00B56167">
      <w:t xml:space="preserve">, </w:t>
    </w:r>
    <w:r>
      <w:t>October 29-30</w:t>
    </w:r>
    <w:r w:rsidR="00B56167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22"/>
    <w:multiLevelType w:val="hybridMultilevel"/>
    <w:tmpl w:val="427C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1BB5"/>
    <w:multiLevelType w:val="hybridMultilevel"/>
    <w:tmpl w:val="68A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C20"/>
    <w:multiLevelType w:val="hybridMultilevel"/>
    <w:tmpl w:val="0B3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4"/>
    <w:rsid w:val="00007C8A"/>
    <w:rsid w:val="00056C53"/>
    <w:rsid w:val="00070805"/>
    <w:rsid w:val="00073BBA"/>
    <w:rsid w:val="000F0D4C"/>
    <w:rsid w:val="00155C6A"/>
    <w:rsid w:val="0017014D"/>
    <w:rsid w:val="001C5774"/>
    <w:rsid w:val="001F4FEE"/>
    <w:rsid w:val="002A4128"/>
    <w:rsid w:val="002E136C"/>
    <w:rsid w:val="00310B32"/>
    <w:rsid w:val="003269BE"/>
    <w:rsid w:val="00362302"/>
    <w:rsid w:val="003869F8"/>
    <w:rsid w:val="003A7918"/>
    <w:rsid w:val="003B2D6C"/>
    <w:rsid w:val="00425B54"/>
    <w:rsid w:val="00425B6B"/>
    <w:rsid w:val="00434301"/>
    <w:rsid w:val="0044546F"/>
    <w:rsid w:val="004F44B9"/>
    <w:rsid w:val="00521A16"/>
    <w:rsid w:val="0052681F"/>
    <w:rsid w:val="00560C88"/>
    <w:rsid w:val="00567E2F"/>
    <w:rsid w:val="005C55A3"/>
    <w:rsid w:val="005E417B"/>
    <w:rsid w:val="0068188D"/>
    <w:rsid w:val="006B2AB5"/>
    <w:rsid w:val="00715B0F"/>
    <w:rsid w:val="00727AC5"/>
    <w:rsid w:val="0075581E"/>
    <w:rsid w:val="007575A7"/>
    <w:rsid w:val="007E2BC3"/>
    <w:rsid w:val="007E3612"/>
    <w:rsid w:val="00802E25"/>
    <w:rsid w:val="00821C62"/>
    <w:rsid w:val="00851DCE"/>
    <w:rsid w:val="00856396"/>
    <w:rsid w:val="00911DCE"/>
    <w:rsid w:val="00956FC1"/>
    <w:rsid w:val="00957581"/>
    <w:rsid w:val="0099243F"/>
    <w:rsid w:val="009A792D"/>
    <w:rsid w:val="00A75026"/>
    <w:rsid w:val="00AA11E8"/>
    <w:rsid w:val="00AB42E3"/>
    <w:rsid w:val="00AE08CD"/>
    <w:rsid w:val="00B0741F"/>
    <w:rsid w:val="00B32DC4"/>
    <w:rsid w:val="00B40CCA"/>
    <w:rsid w:val="00B56167"/>
    <w:rsid w:val="00B64EB9"/>
    <w:rsid w:val="00BA6284"/>
    <w:rsid w:val="00BD04C7"/>
    <w:rsid w:val="00BF5779"/>
    <w:rsid w:val="00CD5581"/>
    <w:rsid w:val="00CE4822"/>
    <w:rsid w:val="00D06ADA"/>
    <w:rsid w:val="00D262C9"/>
    <w:rsid w:val="00D3618B"/>
    <w:rsid w:val="00D557BB"/>
    <w:rsid w:val="00DA1423"/>
    <w:rsid w:val="00DA3C5B"/>
    <w:rsid w:val="00DA663B"/>
    <w:rsid w:val="00DC05C8"/>
    <w:rsid w:val="00DC4E18"/>
    <w:rsid w:val="00DD417B"/>
    <w:rsid w:val="00E34689"/>
    <w:rsid w:val="00E7309B"/>
    <w:rsid w:val="00E92344"/>
    <w:rsid w:val="00EC390B"/>
    <w:rsid w:val="00F03896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7A02-6C76-4277-8C2E-18B7BD8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DC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3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Durand-Morat</dc:creator>
  <cp:keywords/>
  <dc:description/>
  <cp:lastModifiedBy>Eric Young</cp:lastModifiedBy>
  <cp:revision>2</cp:revision>
  <dcterms:created xsi:type="dcterms:W3CDTF">2018-11-13T17:05:00Z</dcterms:created>
  <dcterms:modified xsi:type="dcterms:W3CDTF">2018-11-13T17:05:00Z</dcterms:modified>
</cp:coreProperties>
</file>