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BA846" w14:textId="213DA325" w:rsidR="00462C91" w:rsidRPr="00607532" w:rsidRDefault="00462C91" w:rsidP="00607532">
      <w:pPr>
        <w:jc w:val="center"/>
        <w:rPr>
          <w:rFonts w:ascii="Times New Roman" w:hAnsi="Times New Roman" w:cs="Times New Roman"/>
          <w:bCs/>
        </w:rPr>
      </w:pPr>
      <w:r w:rsidRPr="00607532">
        <w:rPr>
          <w:rFonts w:ascii="Times New Roman" w:hAnsi="Times New Roman" w:cs="Times New Roman"/>
          <w:bCs/>
        </w:rPr>
        <w:t>Annual Report for the Minor Use Animal Drug Program (</w:t>
      </w:r>
      <w:r w:rsidR="00607532" w:rsidRPr="00607532">
        <w:rPr>
          <w:rFonts w:ascii="Times New Roman" w:hAnsi="Times New Roman" w:cs="Times New Roman"/>
          <w:bCs/>
          <w:color w:val="000000"/>
        </w:rPr>
        <w:t>NECC1702</w:t>
      </w:r>
      <w:r w:rsidRPr="00607532">
        <w:rPr>
          <w:rFonts w:ascii="Times New Roman" w:hAnsi="Times New Roman" w:cs="Times New Roman"/>
          <w:bCs/>
        </w:rPr>
        <w:t>)</w:t>
      </w:r>
    </w:p>
    <w:p w14:paraId="49E8336A" w14:textId="4AD8546D" w:rsidR="00462C91" w:rsidRPr="00607532" w:rsidRDefault="00462C91" w:rsidP="006506C6">
      <w:pPr>
        <w:jc w:val="center"/>
        <w:rPr>
          <w:rFonts w:ascii="Times New Roman" w:hAnsi="Times New Roman" w:cs="Times New Roman"/>
          <w:bCs/>
        </w:rPr>
      </w:pPr>
      <w:r w:rsidRPr="00607532">
        <w:rPr>
          <w:rFonts w:ascii="Times New Roman" w:hAnsi="Times New Roman" w:cs="Times New Roman"/>
          <w:bCs/>
        </w:rPr>
        <w:t>FY 2019 – October 1, 2018 to September 30, 2019</w:t>
      </w:r>
      <w:r w:rsidR="002E77E3" w:rsidRPr="00607532">
        <w:rPr>
          <w:rFonts w:ascii="Times New Roman" w:hAnsi="Times New Roman" w:cs="Times New Roman"/>
          <w:bCs/>
        </w:rPr>
        <w:t xml:space="preserve"> </w:t>
      </w:r>
    </w:p>
    <w:p w14:paraId="5BF7A39A" w14:textId="2CE5B818" w:rsidR="00BE403E" w:rsidRPr="00AD46B9" w:rsidRDefault="00BE403E" w:rsidP="00060DED">
      <w:pPr>
        <w:spacing w:before="120"/>
        <w:jc w:val="center"/>
        <w:rPr>
          <w:rFonts w:ascii="Times New Roman" w:hAnsi="Times New Roman" w:cs="Times New Roman"/>
          <w:b/>
        </w:rPr>
      </w:pPr>
      <w:r w:rsidRPr="00AD46B9">
        <w:rPr>
          <w:rFonts w:ascii="Times New Roman" w:hAnsi="Times New Roman" w:cs="Times New Roman"/>
          <w:b/>
        </w:rPr>
        <w:t>Executive Summary</w:t>
      </w:r>
    </w:p>
    <w:p w14:paraId="03D42EB0" w14:textId="19081D74" w:rsidR="00BE403E" w:rsidRDefault="00BE403E" w:rsidP="009D7E75">
      <w:pPr>
        <w:pStyle w:val="ListParagraph"/>
        <w:numPr>
          <w:ilvl w:val="0"/>
          <w:numId w:val="13"/>
        </w:numPr>
        <w:spacing w:before="120"/>
        <w:jc w:val="both"/>
        <w:rPr>
          <w:rFonts w:ascii="Times New Roman" w:hAnsi="Times New Roman" w:cs="Times New Roman"/>
          <w:bCs/>
        </w:rPr>
      </w:pPr>
      <w:r w:rsidRPr="00BE403E">
        <w:rPr>
          <w:rFonts w:ascii="Times New Roman" w:hAnsi="Times New Roman" w:cs="Times New Roman"/>
          <w:bCs/>
        </w:rPr>
        <w:t>The NECC170</w:t>
      </w:r>
      <w:r w:rsidR="00AF2797">
        <w:rPr>
          <w:rFonts w:ascii="Times New Roman" w:hAnsi="Times New Roman" w:cs="Times New Roman"/>
          <w:bCs/>
        </w:rPr>
        <w:t>2</w:t>
      </w:r>
      <w:r w:rsidRPr="00BE403E">
        <w:rPr>
          <w:rFonts w:ascii="Times New Roman" w:hAnsi="Times New Roman" w:cs="Times New Roman"/>
          <w:bCs/>
        </w:rPr>
        <w:t xml:space="preserve"> structure has allowed the current 88 INADAs </w:t>
      </w:r>
      <w:r>
        <w:rPr>
          <w:rFonts w:ascii="Times New Roman" w:hAnsi="Times New Roman" w:cs="Times New Roman"/>
          <w:bCs/>
        </w:rPr>
        <w:t xml:space="preserve">at the Center of Veterinary Medicine </w:t>
      </w:r>
      <w:r w:rsidRPr="00BE403E">
        <w:rPr>
          <w:rFonts w:ascii="Times New Roman" w:hAnsi="Times New Roman" w:cs="Times New Roman"/>
          <w:bCs/>
        </w:rPr>
        <w:t>to remain active without payment of maintenance fees.</w:t>
      </w:r>
    </w:p>
    <w:p w14:paraId="545C65CB" w14:textId="2710C986" w:rsidR="00BE403E" w:rsidRPr="000E2096" w:rsidRDefault="00BE403E" w:rsidP="009D7E75">
      <w:pPr>
        <w:pStyle w:val="ListParagraph"/>
        <w:numPr>
          <w:ilvl w:val="0"/>
          <w:numId w:val="13"/>
        </w:numPr>
        <w:spacing w:before="120"/>
        <w:jc w:val="both"/>
        <w:rPr>
          <w:rFonts w:ascii="Times New Roman" w:hAnsi="Times New Roman" w:cs="Times New Roman"/>
          <w:bCs/>
        </w:rPr>
      </w:pPr>
      <w:r>
        <w:rPr>
          <w:rFonts w:ascii="Times New Roman" w:hAnsi="Times New Roman" w:cs="Times New Roman"/>
          <w:bCs/>
        </w:rPr>
        <w:t xml:space="preserve">A nine-member </w:t>
      </w:r>
      <w:r>
        <w:rPr>
          <w:rFonts w:ascii="Times New Roman" w:hAnsi="Times New Roman" w:cs="Times New Roman"/>
        </w:rPr>
        <w:t xml:space="preserve">Coordinating Committee </w:t>
      </w:r>
      <w:r w:rsidR="006C2075">
        <w:rPr>
          <w:rFonts w:ascii="Times New Roman" w:hAnsi="Times New Roman" w:cs="Times New Roman"/>
        </w:rPr>
        <w:t>teleconferences on a regular basis to maintain schedules and information on progress and NIFA grant opportunities.</w:t>
      </w:r>
    </w:p>
    <w:p w14:paraId="4A0FD82B" w14:textId="73B626C5" w:rsidR="000E2096" w:rsidRPr="00956416" w:rsidRDefault="000E2096" w:rsidP="009D7E75">
      <w:pPr>
        <w:pStyle w:val="ListParagraph"/>
        <w:numPr>
          <w:ilvl w:val="0"/>
          <w:numId w:val="13"/>
        </w:numPr>
        <w:spacing w:before="120"/>
        <w:jc w:val="both"/>
        <w:rPr>
          <w:rFonts w:ascii="Times New Roman" w:hAnsi="Times New Roman" w:cs="Times New Roman"/>
          <w:bCs/>
        </w:rPr>
      </w:pPr>
      <w:r>
        <w:rPr>
          <w:rFonts w:ascii="Times New Roman" w:hAnsi="Times New Roman" w:cs="Times New Roman"/>
        </w:rPr>
        <w:t xml:space="preserve">Coordinating Committee members, </w:t>
      </w:r>
      <w:r w:rsidRPr="003226F6">
        <w:rPr>
          <w:rFonts w:ascii="Times New Roman" w:hAnsi="Times New Roman" w:cs="Times New Roman"/>
        </w:rPr>
        <w:t>Drs. Meg Oeller and Amy Omer of CVM/OMUMS and Dr. Rod Getchell of Cornell University, Northeast Regional Coordinator)</w:t>
      </w:r>
      <w:r>
        <w:rPr>
          <w:rFonts w:ascii="Times New Roman" w:hAnsi="Times New Roman" w:cs="Times New Roman"/>
        </w:rPr>
        <w:t>,</w:t>
      </w:r>
      <w:r w:rsidRPr="003226F6">
        <w:rPr>
          <w:rFonts w:ascii="Times New Roman" w:hAnsi="Times New Roman" w:cs="Times New Roman"/>
        </w:rPr>
        <w:t xml:space="preserve"> attended the </w:t>
      </w:r>
      <w:r w:rsidRPr="003226F6">
        <w:rPr>
          <w:rFonts w:ascii="Times New Roman" w:hAnsi="Times New Roman" w:cs="Times New Roman"/>
          <w:i/>
        </w:rPr>
        <w:t>IR-4 Priority Setting Workshop</w:t>
      </w:r>
      <w:r w:rsidRPr="003226F6">
        <w:rPr>
          <w:rFonts w:ascii="Times New Roman" w:hAnsi="Times New Roman" w:cs="Times New Roman"/>
        </w:rPr>
        <w:t xml:space="preserve"> in September 2019.</w:t>
      </w:r>
    </w:p>
    <w:p w14:paraId="2DFA5665" w14:textId="2E98C36B" w:rsidR="00956416" w:rsidRPr="00E40088" w:rsidRDefault="00E40088" w:rsidP="009D7E75">
      <w:pPr>
        <w:pStyle w:val="ListParagraph"/>
        <w:numPr>
          <w:ilvl w:val="0"/>
          <w:numId w:val="13"/>
        </w:numPr>
        <w:spacing w:before="120"/>
        <w:jc w:val="both"/>
        <w:rPr>
          <w:rFonts w:ascii="Times New Roman" w:hAnsi="Times New Roman" w:cs="Times New Roman"/>
          <w:bCs/>
        </w:rPr>
      </w:pPr>
      <w:r w:rsidRPr="00ED599F">
        <w:rPr>
          <w:rFonts w:ascii="Times New Roman" w:hAnsi="Times New Roman" w:cs="Times New Roman"/>
        </w:rPr>
        <w:t>Dr. Rod Getchell has maintained communication with aquaculture and pharmaceutical representatives, as well as fish health stakeholders.</w:t>
      </w:r>
    </w:p>
    <w:p w14:paraId="358DAEFF" w14:textId="536D809B" w:rsidR="00E40088" w:rsidRPr="00E40088" w:rsidRDefault="00E40088" w:rsidP="009D7E75">
      <w:pPr>
        <w:pStyle w:val="ListParagraph"/>
        <w:numPr>
          <w:ilvl w:val="0"/>
          <w:numId w:val="13"/>
        </w:numPr>
        <w:spacing w:before="120"/>
        <w:jc w:val="both"/>
        <w:rPr>
          <w:rFonts w:ascii="Times New Roman" w:hAnsi="Times New Roman" w:cs="Times New Roman"/>
          <w:bCs/>
        </w:rPr>
      </w:pPr>
      <w:r w:rsidRPr="00ED599F">
        <w:rPr>
          <w:rFonts w:ascii="Times New Roman" w:hAnsi="Times New Roman" w:cs="Times New Roman"/>
          <w:bCs/>
          <w:sz w:val="24"/>
          <w:szCs w:val="24"/>
        </w:rPr>
        <w:t xml:space="preserve">Dr. Omer completed MUADP’s registration with CVM’s </w:t>
      </w:r>
      <w:proofErr w:type="spellStart"/>
      <w:r w:rsidRPr="00ED599F">
        <w:rPr>
          <w:rFonts w:ascii="Times New Roman" w:hAnsi="Times New Roman" w:cs="Times New Roman"/>
          <w:bCs/>
          <w:sz w:val="24"/>
          <w:szCs w:val="24"/>
        </w:rPr>
        <w:t>eSubmitter</w:t>
      </w:r>
      <w:proofErr w:type="spellEnd"/>
      <w:r w:rsidRPr="00ED599F">
        <w:rPr>
          <w:rFonts w:ascii="Times New Roman" w:hAnsi="Times New Roman" w:cs="Times New Roman"/>
          <w:bCs/>
          <w:sz w:val="24"/>
          <w:szCs w:val="24"/>
        </w:rPr>
        <w:t xml:space="preserve"> program.</w:t>
      </w:r>
    </w:p>
    <w:p w14:paraId="2AEBA04A" w14:textId="7DFB4F15" w:rsidR="00E40088" w:rsidRDefault="00143F5D" w:rsidP="009D7E75">
      <w:pPr>
        <w:pStyle w:val="ListParagraph"/>
        <w:numPr>
          <w:ilvl w:val="0"/>
          <w:numId w:val="13"/>
        </w:numPr>
        <w:spacing w:before="120"/>
        <w:jc w:val="both"/>
        <w:rPr>
          <w:rFonts w:ascii="Times New Roman" w:hAnsi="Times New Roman" w:cs="Times New Roman"/>
          <w:bCs/>
        </w:rPr>
      </w:pPr>
      <w:r>
        <w:rPr>
          <w:rFonts w:ascii="Times New Roman" w:hAnsi="Times New Roman" w:cs="Times New Roman"/>
          <w:bCs/>
        </w:rPr>
        <w:t xml:space="preserve">Progress has been made on nine of 13 current projects. </w:t>
      </w:r>
    </w:p>
    <w:p w14:paraId="2D15E45F" w14:textId="3E997B72" w:rsidR="00143F5D" w:rsidRPr="009D7E75" w:rsidRDefault="00143F5D" w:rsidP="009D7E75">
      <w:pPr>
        <w:pStyle w:val="ListParagraph"/>
        <w:numPr>
          <w:ilvl w:val="0"/>
          <w:numId w:val="13"/>
        </w:numPr>
        <w:spacing w:before="120"/>
        <w:jc w:val="both"/>
        <w:rPr>
          <w:rFonts w:ascii="Times New Roman" w:hAnsi="Times New Roman" w:cs="Times New Roman"/>
          <w:bCs/>
        </w:rPr>
      </w:pPr>
      <w:r>
        <w:rPr>
          <w:rFonts w:ascii="Times New Roman" w:hAnsi="Times New Roman" w:cs="Times New Roman"/>
          <w:bCs/>
        </w:rPr>
        <w:t xml:space="preserve">A </w:t>
      </w:r>
      <w:r w:rsidR="00D42649">
        <w:rPr>
          <w:rFonts w:ascii="Times New Roman" w:hAnsi="Times New Roman" w:cs="Times New Roman"/>
          <w:bCs/>
        </w:rPr>
        <w:t xml:space="preserve">one-year, $200,000 </w:t>
      </w:r>
      <w:r>
        <w:rPr>
          <w:rFonts w:ascii="Times New Roman" w:hAnsi="Times New Roman" w:cs="Times New Roman"/>
          <w:bCs/>
        </w:rPr>
        <w:t xml:space="preserve">grant application under </w:t>
      </w:r>
      <w:r w:rsidRPr="00135931">
        <w:rPr>
          <w:rFonts w:ascii="Times New Roman" w:hAnsi="Times New Roman" w:cs="Times New Roman"/>
        </w:rPr>
        <w:t>USDA-NIFA-AFRI-Funding Opportunity Number 007052</w:t>
      </w:r>
      <w:r>
        <w:rPr>
          <w:rFonts w:ascii="Times New Roman" w:hAnsi="Times New Roman" w:cs="Times New Roman"/>
        </w:rPr>
        <w:t xml:space="preserve"> entitled, </w:t>
      </w:r>
      <w:r w:rsidR="00D42649" w:rsidRPr="00135931">
        <w:rPr>
          <w:rFonts w:ascii="Times New Roman" w:hAnsi="Times New Roman" w:cs="Times New Roman"/>
          <w:b/>
          <w:bCs/>
        </w:rPr>
        <w:t>Therapeutic interventions for disease reduction or treatment</w:t>
      </w:r>
      <w:r w:rsidR="00D42649">
        <w:rPr>
          <w:rFonts w:ascii="Times New Roman" w:hAnsi="Times New Roman" w:cs="Times New Roman"/>
        </w:rPr>
        <w:t xml:space="preserve"> was submitted to assess the efficacy of </w:t>
      </w:r>
      <w:r w:rsidR="00D42649" w:rsidRPr="00135931">
        <w:rPr>
          <w:rFonts w:ascii="Times New Roman" w:hAnsi="Times New Roman" w:cs="Times New Roman"/>
        </w:rPr>
        <w:t>Florfenicol (AQUAFLOR®), Oxytetracycline (TM200), and Hydrogen peroxide (</w:t>
      </w:r>
      <w:proofErr w:type="spellStart"/>
      <w:r w:rsidR="00D42649" w:rsidRPr="00135931">
        <w:rPr>
          <w:rFonts w:ascii="Times New Roman" w:hAnsi="Times New Roman" w:cs="Times New Roman"/>
        </w:rPr>
        <w:t>Perox</w:t>
      </w:r>
      <w:proofErr w:type="spellEnd"/>
      <w:r w:rsidR="00D42649" w:rsidRPr="00135931">
        <w:rPr>
          <w:rFonts w:ascii="Times New Roman" w:hAnsi="Times New Roman" w:cs="Times New Roman"/>
        </w:rPr>
        <w:t>-Aid®)</w:t>
      </w:r>
      <w:r w:rsidR="00D42649">
        <w:rPr>
          <w:rFonts w:ascii="Times New Roman" w:hAnsi="Times New Roman" w:cs="Times New Roman"/>
        </w:rPr>
        <w:t xml:space="preserve"> for parasitic diseases of fish. </w:t>
      </w:r>
    </w:p>
    <w:p w14:paraId="21219F4E" w14:textId="7CE8C390" w:rsidR="009D7E75" w:rsidRPr="009D7E75" w:rsidRDefault="009D7E75" w:rsidP="009D7E75">
      <w:pPr>
        <w:pStyle w:val="ListParagraph"/>
        <w:numPr>
          <w:ilvl w:val="0"/>
          <w:numId w:val="13"/>
        </w:numPr>
        <w:spacing w:before="120"/>
        <w:jc w:val="both"/>
        <w:rPr>
          <w:rFonts w:ascii="Times New Roman" w:hAnsi="Times New Roman" w:cs="Times New Roman"/>
          <w:bCs/>
        </w:rPr>
      </w:pPr>
      <w:r>
        <w:rPr>
          <w:rFonts w:ascii="Times New Roman" w:hAnsi="Times New Roman" w:cs="Times New Roman"/>
          <w:bCs/>
        </w:rPr>
        <w:t xml:space="preserve">Detailed cost and time </w:t>
      </w:r>
      <w:proofErr w:type="gramStart"/>
      <w:r>
        <w:rPr>
          <w:rFonts w:ascii="Times New Roman" w:hAnsi="Times New Roman" w:cs="Times New Roman"/>
          <w:bCs/>
        </w:rPr>
        <w:t>estimates</w:t>
      </w:r>
      <w:proofErr w:type="gramEnd"/>
      <w:r>
        <w:rPr>
          <w:rFonts w:ascii="Times New Roman" w:hAnsi="Times New Roman" w:cs="Times New Roman"/>
          <w:bCs/>
        </w:rPr>
        <w:t xml:space="preserve"> of Efficacy, Target Animal Safety and Human Food Safety studies by the National Coordinator concluded direct costs associated with a single abbreviated new animal drug approval (ANADA) would be approximately $700,000 </w:t>
      </w:r>
      <w:r w:rsidR="00792FC6">
        <w:rPr>
          <w:rFonts w:ascii="Times New Roman" w:hAnsi="Times New Roman" w:cs="Times New Roman"/>
          <w:bCs/>
        </w:rPr>
        <w:t xml:space="preserve">over </w:t>
      </w:r>
      <w:r>
        <w:rPr>
          <w:rFonts w:ascii="Times New Roman" w:hAnsi="Times New Roman" w:cs="Times New Roman"/>
          <w:bCs/>
        </w:rPr>
        <w:t xml:space="preserve">five years. Various structures are currently under examination to address stakeholder expectations and support.  </w:t>
      </w:r>
    </w:p>
    <w:p w14:paraId="49BBDEB9" w14:textId="1CBB1F13" w:rsidR="006C2075" w:rsidRPr="000E2096" w:rsidRDefault="000E2096" w:rsidP="009D7E75">
      <w:pPr>
        <w:pStyle w:val="ListParagraph"/>
        <w:numPr>
          <w:ilvl w:val="0"/>
          <w:numId w:val="13"/>
        </w:numPr>
        <w:spacing w:before="120"/>
        <w:jc w:val="both"/>
        <w:rPr>
          <w:rFonts w:ascii="Times New Roman" w:hAnsi="Times New Roman" w:cs="Times New Roman"/>
          <w:bCs/>
        </w:rPr>
      </w:pPr>
      <w:r>
        <w:rPr>
          <w:rFonts w:ascii="Times New Roman" w:hAnsi="Times New Roman" w:cs="Times New Roman"/>
        </w:rPr>
        <w:t xml:space="preserve">Coordinating Committee members have published two-peer review articles and made </w:t>
      </w:r>
      <w:r w:rsidR="006C1ABC">
        <w:rPr>
          <w:rFonts w:ascii="Times New Roman" w:hAnsi="Times New Roman" w:cs="Times New Roman"/>
        </w:rPr>
        <w:t>three</w:t>
      </w:r>
      <w:r>
        <w:rPr>
          <w:rFonts w:ascii="Times New Roman" w:hAnsi="Times New Roman" w:cs="Times New Roman"/>
        </w:rPr>
        <w:t xml:space="preserve"> presentations of current projects</w:t>
      </w:r>
    </w:p>
    <w:p w14:paraId="136B17C4" w14:textId="42BA9181" w:rsidR="00814FD8" w:rsidRPr="00AD46B9" w:rsidRDefault="0059280C" w:rsidP="009D7E75">
      <w:pPr>
        <w:spacing w:before="120"/>
        <w:jc w:val="both"/>
        <w:rPr>
          <w:rFonts w:ascii="Times New Roman" w:hAnsi="Times New Roman" w:cs="Times New Roman"/>
          <w:b/>
        </w:rPr>
      </w:pPr>
      <w:r w:rsidRPr="00AD46B9">
        <w:rPr>
          <w:rFonts w:ascii="Times New Roman" w:hAnsi="Times New Roman" w:cs="Times New Roman"/>
          <w:b/>
        </w:rPr>
        <w:t>NECC170</w:t>
      </w:r>
      <w:r w:rsidR="005C7614">
        <w:rPr>
          <w:rFonts w:ascii="Times New Roman" w:hAnsi="Times New Roman" w:cs="Times New Roman"/>
          <w:b/>
        </w:rPr>
        <w:t>2</w:t>
      </w:r>
      <w:r w:rsidR="00AF523F" w:rsidRPr="00AD46B9">
        <w:rPr>
          <w:rFonts w:ascii="Times New Roman" w:hAnsi="Times New Roman" w:cs="Times New Roman"/>
          <w:b/>
        </w:rPr>
        <w:t xml:space="preserve"> Accomplishments</w:t>
      </w:r>
      <w:r w:rsidR="001D5FC7" w:rsidRPr="00AD46B9">
        <w:rPr>
          <w:rFonts w:ascii="Times New Roman" w:hAnsi="Times New Roman" w:cs="Times New Roman"/>
          <w:b/>
        </w:rPr>
        <w:t xml:space="preserve"> and Impacts</w:t>
      </w:r>
    </w:p>
    <w:p w14:paraId="2B3499AE" w14:textId="0A6CCE98" w:rsidR="00B84260" w:rsidRDefault="001D5FC7" w:rsidP="009D7E75">
      <w:pPr>
        <w:spacing w:after="120"/>
        <w:ind w:firstLine="720"/>
        <w:jc w:val="both"/>
        <w:rPr>
          <w:rFonts w:ascii="Times New Roman" w:hAnsi="Times New Roman" w:cs="Times New Roman"/>
        </w:rPr>
      </w:pPr>
      <w:r>
        <w:rPr>
          <w:rFonts w:ascii="Times New Roman" w:hAnsi="Times New Roman" w:cs="Times New Roman"/>
        </w:rPr>
        <w:t>NECC170</w:t>
      </w:r>
      <w:r w:rsidR="005C7614">
        <w:rPr>
          <w:rFonts w:ascii="Times New Roman" w:hAnsi="Times New Roman" w:cs="Times New Roman"/>
        </w:rPr>
        <w:t>2</w:t>
      </w:r>
      <w:r>
        <w:rPr>
          <w:rFonts w:ascii="Times New Roman" w:hAnsi="Times New Roman" w:cs="Times New Roman"/>
        </w:rPr>
        <w:t xml:space="preserve"> Accomplishments and Impacts are related to the following stated objective and activities described in the </w:t>
      </w:r>
      <w:r w:rsidRPr="001D5FC7">
        <w:rPr>
          <w:rFonts w:ascii="Times New Roman" w:hAnsi="Times New Roman" w:cs="Times New Roman"/>
        </w:rPr>
        <w:t>6/26/2017</w:t>
      </w:r>
      <w:r>
        <w:rPr>
          <w:rFonts w:ascii="Times New Roman" w:hAnsi="Times New Roman" w:cs="Times New Roman"/>
        </w:rPr>
        <w:t xml:space="preserve"> proposal</w:t>
      </w:r>
      <w:r w:rsidR="00792FC6">
        <w:rPr>
          <w:rFonts w:ascii="Times New Roman" w:hAnsi="Times New Roman" w:cs="Times New Roman"/>
        </w:rPr>
        <w:t xml:space="preserve"> (in italics)</w:t>
      </w:r>
      <w:r>
        <w:rPr>
          <w:rFonts w:ascii="Times New Roman" w:hAnsi="Times New Roman" w:cs="Times New Roman"/>
        </w:rPr>
        <w:t>:</w:t>
      </w:r>
    </w:p>
    <w:p w14:paraId="3046CCA8" w14:textId="6C35781E" w:rsidR="00814FD8" w:rsidRDefault="00814FD8" w:rsidP="009D7E75">
      <w:pPr>
        <w:jc w:val="both"/>
        <w:rPr>
          <w:rFonts w:ascii="Times New Roman" w:hAnsi="Times New Roman" w:cs="Times New Roman"/>
          <w:i/>
          <w:iCs/>
        </w:rPr>
      </w:pPr>
      <w:r w:rsidRPr="001D5FC7">
        <w:rPr>
          <w:rFonts w:ascii="Times New Roman" w:hAnsi="Times New Roman" w:cs="Times New Roman"/>
          <w:i/>
          <w:iCs/>
        </w:rPr>
        <w:t>1. Provide the formal structure necessary to maintain the 88 INADAs held in the name of the MUADP.</w:t>
      </w:r>
    </w:p>
    <w:p w14:paraId="5A4E0B1C" w14:textId="675EB145" w:rsidR="00D51408" w:rsidRPr="00D51408" w:rsidRDefault="00D51408" w:rsidP="009D7E75">
      <w:pPr>
        <w:ind w:firstLine="720"/>
        <w:jc w:val="both"/>
        <w:rPr>
          <w:rFonts w:ascii="Times New Roman" w:hAnsi="Times New Roman" w:cs="Times New Roman"/>
        </w:rPr>
      </w:pPr>
      <w:r>
        <w:rPr>
          <w:rFonts w:ascii="Times New Roman" w:hAnsi="Times New Roman" w:cs="Times New Roman"/>
        </w:rPr>
        <w:t>The NECC170</w:t>
      </w:r>
      <w:r w:rsidR="00AF2797">
        <w:rPr>
          <w:rFonts w:ascii="Times New Roman" w:hAnsi="Times New Roman" w:cs="Times New Roman"/>
        </w:rPr>
        <w:t>2</w:t>
      </w:r>
      <w:r>
        <w:rPr>
          <w:rFonts w:ascii="Times New Roman" w:hAnsi="Times New Roman" w:cs="Times New Roman"/>
        </w:rPr>
        <w:t xml:space="preserve"> structure has allowed the current 88 INADAs to remain active </w:t>
      </w:r>
      <w:r w:rsidR="00095CCD">
        <w:rPr>
          <w:rFonts w:ascii="Times New Roman" w:hAnsi="Times New Roman" w:cs="Times New Roman"/>
        </w:rPr>
        <w:t xml:space="preserve">within FDA/CVM </w:t>
      </w:r>
      <w:r>
        <w:rPr>
          <w:rFonts w:ascii="Times New Roman" w:hAnsi="Times New Roman" w:cs="Times New Roman"/>
        </w:rPr>
        <w:t xml:space="preserve">without payment of maintenance fees. </w:t>
      </w:r>
    </w:p>
    <w:p w14:paraId="2C620AFE" w14:textId="484C8BAA" w:rsidR="001211AD" w:rsidRPr="001D5FC7" w:rsidRDefault="001D5FC7" w:rsidP="009D7E75">
      <w:pPr>
        <w:spacing w:before="120"/>
        <w:jc w:val="both"/>
        <w:rPr>
          <w:rFonts w:ascii="Times New Roman" w:hAnsi="Times New Roman" w:cs="Times New Roman"/>
          <w:i/>
          <w:iCs/>
        </w:rPr>
      </w:pPr>
      <w:r w:rsidRPr="001D5FC7">
        <w:rPr>
          <w:rFonts w:ascii="Times New Roman" w:hAnsi="Times New Roman" w:cs="Times New Roman"/>
          <w:i/>
          <w:iCs/>
        </w:rPr>
        <w:t>2. Teleconference and meet with NIFA associates to address the development of a tactical science initiative and formation of a unified Regulatory Systems Support Program</w:t>
      </w:r>
      <w:r w:rsidR="001211AD">
        <w:rPr>
          <w:rFonts w:ascii="Times New Roman" w:hAnsi="Times New Roman" w:cs="Times New Roman"/>
          <w:i/>
          <w:iCs/>
        </w:rPr>
        <w:t>.</w:t>
      </w:r>
    </w:p>
    <w:p w14:paraId="3EB2CCE1" w14:textId="36C3A4DE" w:rsidR="001D5FC7" w:rsidRDefault="001D5FC7" w:rsidP="009D7E75">
      <w:pPr>
        <w:spacing w:before="120"/>
        <w:ind w:right="-187" w:firstLine="720"/>
        <w:jc w:val="both"/>
        <w:rPr>
          <w:rFonts w:ascii="Times New Roman" w:hAnsi="Times New Roman" w:cs="Times New Roman"/>
        </w:rPr>
      </w:pPr>
      <w:r>
        <w:rPr>
          <w:rFonts w:ascii="Times New Roman" w:hAnsi="Times New Roman" w:cs="Times New Roman"/>
        </w:rPr>
        <w:t>Under the format of NECC170</w:t>
      </w:r>
      <w:r w:rsidR="00AF2797">
        <w:rPr>
          <w:rFonts w:ascii="Times New Roman" w:hAnsi="Times New Roman" w:cs="Times New Roman"/>
        </w:rPr>
        <w:t>2</w:t>
      </w:r>
      <w:r>
        <w:rPr>
          <w:rFonts w:ascii="Times New Roman" w:hAnsi="Times New Roman" w:cs="Times New Roman"/>
        </w:rPr>
        <w:t>, the following</w:t>
      </w:r>
      <w:r w:rsidR="001211AD">
        <w:rPr>
          <w:rFonts w:ascii="Times New Roman" w:hAnsi="Times New Roman" w:cs="Times New Roman"/>
        </w:rPr>
        <w:t xml:space="preserve"> Coordinating Committee members</w:t>
      </w:r>
      <w:r>
        <w:rPr>
          <w:rFonts w:ascii="Times New Roman" w:hAnsi="Times New Roman" w:cs="Times New Roman"/>
        </w:rPr>
        <w:t xml:space="preserve"> (Table 1) teleconferenced on a regular basis to discuss funding opportunities and progress on studies. </w:t>
      </w:r>
      <w:r w:rsidR="00D51408">
        <w:rPr>
          <w:rFonts w:ascii="Times New Roman" w:hAnsi="Times New Roman" w:cs="Times New Roman"/>
        </w:rPr>
        <w:t xml:space="preserve">NIFA assigned </w:t>
      </w:r>
      <w:r w:rsidR="006506C6">
        <w:rPr>
          <w:rFonts w:ascii="Times New Roman" w:hAnsi="Times New Roman" w:cs="Times New Roman"/>
        </w:rPr>
        <w:t xml:space="preserve">liaison, Dr. Mark </w:t>
      </w:r>
      <w:proofErr w:type="spellStart"/>
      <w:r w:rsidR="006506C6">
        <w:rPr>
          <w:rFonts w:ascii="Times New Roman" w:hAnsi="Times New Roman" w:cs="Times New Roman"/>
        </w:rPr>
        <w:t>Mirando</w:t>
      </w:r>
      <w:proofErr w:type="spellEnd"/>
      <w:r w:rsidR="006506C6">
        <w:rPr>
          <w:rFonts w:ascii="Times New Roman" w:hAnsi="Times New Roman" w:cs="Times New Roman"/>
        </w:rPr>
        <w:t xml:space="preserve"> provides updates on funding opportunities through the agency. </w:t>
      </w:r>
    </w:p>
    <w:p w14:paraId="519182B8" w14:textId="77777777" w:rsidR="00095CCD" w:rsidRPr="00AD46B9" w:rsidRDefault="00095CCD" w:rsidP="009D7E75">
      <w:pPr>
        <w:spacing w:before="240"/>
        <w:jc w:val="both"/>
        <w:rPr>
          <w:rFonts w:ascii="Times New Roman" w:hAnsi="Times New Roman" w:cs="Times New Roman"/>
          <w:b/>
        </w:rPr>
      </w:pPr>
      <w:r w:rsidRPr="00AD46B9">
        <w:rPr>
          <w:rFonts w:ascii="Times New Roman" w:hAnsi="Times New Roman" w:cs="Times New Roman"/>
          <w:b/>
        </w:rPr>
        <w:t>Outreach</w:t>
      </w:r>
    </w:p>
    <w:p w14:paraId="5650AD47" w14:textId="77777777" w:rsidR="00095CCD" w:rsidRPr="003226F6" w:rsidRDefault="00095CCD" w:rsidP="009D7E75">
      <w:pPr>
        <w:ind w:firstLine="720"/>
        <w:jc w:val="both"/>
        <w:rPr>
          <w:rFonts w:ascii="Times New Roman" w:hAnsi="Times New Roman" w:cs="Times New Roman"/>
          <w:sz w:val="28"/>
          <w:szCs w:val="28"/>
        </w:rPr>
      </w:pPr>
      <w:r w:rsidRPr="003226F6">
        <w:rPr>
          <w:rFonts w:ascii="Times New Roman" w:hAnsi="Times New Roman" w:cs="Times New Roman"/>
        </w:rPr>
        <w:t xml:space="preserve">Several members of the MUADP Coordinating Committee (Drs. Meg Oeller and Amy Omer of CVM/OMUMS and Dr. Rod Getchell of Cornell University, Northeast Regional Coordinator) attended the </w:t>
      </w:r>
      <w:r w:rsidRPr="003226F6">
        <w:rPr>
          <w:rFonts w:ascii="Times New Roman" w:hAnsi="Times New Roman" w:cs="Times New Roman"/>
          <w:i/>
        </w:rPr>
        <w:t>IR-4 Priority Setting Workshop</w:t>
      </w:r>
      <w:r w:rsidRPr="003226F6">
        <w:rPr>
          <w:rFonts w:ascii="Times New Roman" w:hAnsi="Times New Roman" w:cs="Times New Roman"/>
        </w:rPr>
        <w:t xml:space="preserve"> in September 2019. </w:t>
      </w:r>
      <w:r w:rsidRPr="003226F6">
        <w:rPr>
          <w:rFonts w:ascii="Times New Roman" w:eastAsia="Times New Roman" w:hAnsi="Times New Roman" w:cs="Times New Roman"/>
        </w:rPr>
        <w:t xml:space="preserve">The members observed the priority-setting activities of IR-4, a program whose mission is essentially identical to that of the Minor Use Animal Drug Program (MUADP) but for plants instead of animals. </w:t>
      </w:r>
      <w:r w:rsidRPr="003226F6">
        <w:rPr>
          <w:rFonts w:ascii="Times New Roman" w:hAnsi="Times New Roman" w:cs="Times New Roman"/>
        </w:rPr>
        <w:t xml:space="preserve">Attendance at this workshop provided an opportunity for the </w:t>
      </w:r>
      <w:r>
        <w:rPr>
          <w:rFonts w:ascii="Times New Roman" w:hAnsi="Times New Roman" w:cs="Times New Roman"/>
        </w:rPr>
        <w:t>C</w:t>
      </w:r>
      <w:r w:rsidRPr="003226F6">
        <w:rPr>
          <w:rFonts w:ascii="Times New Roman" w:hAnsi="Times New Roman" w:cs="Times New Roman"/>
        </w:rPr>
        <w:t xml:space="preserve">ommittee members to understand </w:t>
      </w:r>
      <w:r w:rsidRPr="003226F6">
        <w:rPr>
          <w:rFonts w:ascii="Times New Roman" w:hAnsi="Times New Roman" w:cs="Times New Roman"/>
        </w:rPr>
        <w:lastRenderedPageBreak/>
        <w:t>the process that IR-4 uses to (1) prioritize the research they conduct, and (2) maintain the involvement of their stakeholders in the prioritization process.</w:t>
      </w:r>
    </w:p>
    <w:p w14:paraId="22C7443C" w14:textId="55FC05A7" w:rsidR="00095CCD" w:rsidRDefault="00095CCD" w:rsidP="009D7E75">
      <w:pPr>
        <w:spacing w:before="120"/>
        <w:ind w:firstLine="720"/>
        <w:jc w:val="both"/>
        <w:rPr>
          <w:rFonts w:ascii="Times New Roman" w:hAnsi="Times New Roman" w:cs="Times New Roman"/>
        </w:rPr>
      </w:pPr>
      <w:r w:rsidRPr="00ED599F">
        <w:rPr>
          <w:rFonts w:ascii="Times New Roman" w:hAnsi="Times New Roman" w:cs="Times New Roman"/>
        </w:rPr>
        <w:t xml:space="preserve">Dr. Rod Getchell has maintained communication with aquaculture and pharmaceutical representatives, as well as fish health stakeholders. Additionally, he works closely with AADAP and other research partners.  For example, the progress made on our AQUI-S®20E project was presented at the annual meeting of the Aquaculture Drug Approval Coordination Workshop last July. Additionally, Dr. Getchell updates the NECC1702 Coordinating Committee members on his NECC1702 projects during teleconferences.  </w:t>
      </w:r>
    </w:p>
    <w:p w14:paraId="26AB3E26" w14:textId="1A891B45" w:rsidR="00AF523F" w:rsidRPr="00B94EB0" w:rsidRDefault="00AF523F" w:rsidP="001211AD">
      <w:pPr>
        <w:spacing w:before="120"/>
        <w:rPr>
          <w:rFonts w:ascii="Times New Roman" w:hAnsi="Times New Roman" w:cs="Times New Roman"/>
        </w:rPr>
      </w:pPr>
      <w:r w:rsidRPr="001D5FC7">
        <w:rPr>
          <w:rFonts w:ascii="Times New Roman" w:hAnsi="Times New Roman" w:cs="Times New Roman"/>
          <w:b/>
          <w:bCs/>
        </w:rPr>
        <w:t>Table 1</w:t>
      </w:r>
      <w:r w:rsidRPr="00B94EB0">
        <w:rPr>
          <w:rFonts w:ascii="Times New Roman" w:hAnsi="Times New Roman" w:cs="Times New Roman"/>
        </w:rPr>
        <w:t xml:space="preserve">. Minor Use Animal Drug Program </w:t>
      </w:r>
      <w:r w:rsidR="001211AD">
        <w:rPr>
          <w:rFonts w:ascii="Times New Roman" w:hAnsi="Times New Roman" w:cs="Times New Roman"/>
        </w:rPr>
        <w:t>Coordinating Committee</w:t>
      </w:r>
    </w:p>
    <w:tbl>
      <w:tblPr>
        <w:tblW w:w="9358" w:type="dxa"/>
        <w:tblInd w:w="120" w:type="dxa"/>
        <w:tblLayout w:type="fixed"/>
        <w:tblCellMar>
          <w:left w:w="0" w:type="dxa"/>
          <w:right w:w="0" w:type="dxa"/>
        </w:tblCellMar>
        <w:tblLook w:val="01E0" w:firstRow="1" w:lastRow="1" w:firstColumn="1" w:lastColumn="1" w:noHBand="0" w:noVBand="0"/>
      </w:tblPr>
      <w:tblGrid>
        <w:gridCol w:w="2704"/>
        <w:gridCol w:w="3334"/>
        <w:gridCol w:w="3320"/>
      </w:tblGrid>
      <w:tr w:rsidR="00AF523F" w:rsidRPr="00B94EB0" w14:paraId="45C621E3" w14:textId="77777777" w:rsidTr="00D528C4">
        <w:trPr>
          <w:trHeight w:val="277"/>
        </w:trPr>
        <w:tc>
          <w:tcPr>
            <w:tcW w:w="2704" w:type="dxa"/>
            <w:tcBorders>
              <w:top w:val="single" w:sz="4" w:space="0" w:color="auto"/>
              <w:bottom w:val="single" w:sz="4" w:space="0" w:color="auto"/>
            </w:tcBorders>
            <w:shd w:val="clear" w:color="auto" w:fill="BFBFBF"/>
          </w:tcPr>
          <w:p w14:paraId="127C0DFA" w14:textId="77777777" w:rsidR="00AF523F" w:rsidRPr="00B94EB0" w:rsidRDefault="00AF523F" w:rsidP="00060DED">
            <w:pPr>
              <w:pStyle w:val="TableParagraph"/>
              <w:spacing w:line="240" w:lineRule="auto"/>
              <w:ind w:left="1256"/>
              <w:jc w:val="left"/>
              <w:rPr>
                <w:b/>
                <w:sz w:val="24"/>
                <w:szCs w:val="24"/>
              </w:rPr>
            </w:pPr>
            <w:r w:rsidRPr="00B94EB0">
              <w:rPr>
                <w:b/>
                <w:sz w:val="24"/>
                <w:szCs w:val="24"/>
              </w:rPr>
              <w:t>Name</w:t>
            </w:r>
          </w:p>
        </w:tc>
        <w:tc>
          <w:tcPr>
            <w:tcW w:w="3334" w:type="dxa"/>
            <w:tcBorders>
              <w:top w:val="single" w:sz="4" w:space="0" w:color="auto"/>
              <w:bottom w:val="single" w:sz="4" w:space="0" w:color="auto"/>
            </w:tcBorders>
            <w:shd w:val="clear" w:color="auto" w:fill="BFBFBF"/>
          </w:tcPr>
          <w:p w14:paraId="3C30DEF3" w14:textId="77777777" w:rsidR="00AF523F" w:rsidRPr="00B94EB0" w:rsidRDefault="00AF523F" w:rsidP="00060DED">
            <w:pPr>
              <w:pStyle w:val="TableParagraph"/>
              <w:spacing w:line="240" w:lineRule="auto"/>
              <w:ind w:left="591" w:right="196"/>
              <w:rPr>
                <w:b/>
                <w:sz w:val="24"/>
                <w:szCs w:val="24"/>
              </w:rPr>
            </w:pPr>
            <w:r w:rsidRPr="00B94EB0">
              <w:rPr>
                <w:b/>
                <w:sz w:val="24"/>
                <w:szCs w:val="24"/>
              </w:rPr>
              <w:t>Representing</w:t>
            </w:r>
          </w:p>
        </w:tc>
        <w:tc>
          <w:tcPr>
            <w:tcW w:w="3320" w:type="dxa"/>
            <w:tcBorders>
              <w:top w:val="single" w:sz="4" w:space="0" w:color="auto"/>
              <w:bottom w:val="single" w:sz="4" w:space="0" w:color="auto"/>
            </w:tcBorders>
            <w:shd w:val="clear" w:color="auto" w:fill="BFBFBF"/>
          </w:tcPr>
          <w:p w14:paraId="39E5F3C8" w14:textId="77777777" w:rsidR="00AF523F" w:rsidRPr="00B94EB0" w:rsidRDefault="00AF523F" w:rsidP="00060DED">
            <w:pPr>
              <w:pStyle w:val="TableParagraph"/>
              <w:spacing w:line="240" w:lineRule="auto"/>
              <w:ind w:right="203"/>
              <w:rPr>
                <w:b/>
                <w:sz w:val="24"/>
                <w:szCs w:val="24"/>
              </w:rPr>
            </w:pPr>
            <w:r w:rsidRPr="00B94EB0">
              <w:rPr>
                <w:b/>
                <w:sz w:val="24"/>
                <w:szCs w:val="24"/>
              </w:rPr>
              <w:t>email Address</w:t>
            </w:r>
          </w:p>
        </w:tc>
      </w:tr>
      <w:tr w:rsidR="00AF523F" w:rsidRPr="00B94EB0" w14:paraId="090F71B6" w14:textId="77777777" w:rsidTr="001211AD">
        <w:trPr>
          <w:trHeight w:val="275"/>
        </w:trPr>
        <w:tc>
          <w:tcPr>
            <w:tcW w:w="2704" w:type="dxa"/>
            <w:tcBorders>
              <w:top w:val="single" w:sz="4" w:space="0" w:color="auto"/>
            </w:tcBorders>
          </w:tcPr>
          <w:p w14:paraId="5D0EE053" w14:textId="77777777" w:rsidR="00AF523F" w:rsidRPr="006A786C" w:rsidRDefault="00AF523F" w:rsidP="00060DED">
            <w:pPr>
              <w:pStyle w:val="TableParagraph"/>
              <w:spacing w:line="240" w:lineRule="auto"/>
              <w:ind w:left="112"/>
              <w:jc w:val="left"/>
              <w:rPr>
                <w:sz w:val="24"/>
                <w:szCs w:val="24"/>
              </w:rPr>
            </w:pPr>
            <w:r w:rsidRPr="006A786C">
              <w:rPr>
                <w:sz w:val="24"/>
                <w:szCs w:val="24"/>
              </w:rPr>
              <w:t xml:space="preserve">Amanda </w:t>
            </w:r>
            <w:proofErr w:type="spellStart"/>
            <w:r w:rsidRPr="006A786C">
              <w:rPr>
                <w:sz w:val="24"/>
                <w:szCs w:val="24"/>
              </w:rPr>
              <w:t>Kreuder</w:t>
            </w:r>
            <w:proofErr w:type="spellEnd"/>
          </w:p>
        </w:tc>
        <w:tc>
          <w:tcPr>
            <w:tcW w:w="3334" w:type="dxa"/>
            <w:tcBorders>
              <w:top w:val="single" w:sz="4" w:space="0" w:color="auto"/>
            </w:tcBorders>
          </w:tcPr>
          <w:p w14:paraId="1EC0A858" w14:textId="77777777" w:rsidR="00AF523F" w:rsidRPr="006A786C" w:rsidRDefault="00AF523F" w:rsidP="00060DED">
            <w:pPr>
              <w:pStyle w:val="TableParagraph"/>
              <w:spacing w:line="240" w:lineRule="auto"/>
              <w:ind w:left="591" w:right="196"/>
              <w:rPr>
                <w:sz w:val="24"/>
                <w:szCs w:val="24"/>
              </w:rPr>
            </w:pPr>
            <w:r w:rsidRPr="006A786C">
              <w:rPr>
                <w:sz w:val="24"/>
                <w:szCs w:val="24"/>
              </w:rPr>
              <w:t>Iowa State University</w:t>
            </w:r>
          </w:p>
        </w:tc>
        <w:tc>
          <w:tcPr>
            <w:tcW w:w="3320" w:type="dxa"/>
            <w:tcBorders>
              <w:top w:val="single" w:sz="4" w:space="0" w:color="auto"/>
            </w:tcBorders>
          </w:tcPr>
          <w:p w14:paraId="600709CA" w14:textId="77777777" w:rsidR="00AF523F" w:rsidRPr="006A786C" w:rsidRDefault="00AF523F" w:rsidP="00060DED">
            <w:pPr>
              <w:pStyle w:val="TableParagraph"/>
              <w:spacing w:line="240" w:lineRule="auto"/>
              <w:ind w:right="203"/>
              <w:rPr>
                <w:sz w:val="24"/>
                <w:szCs w:val="24"/>
              </w:rPr>
            </w:pPr>
            <w:r w:rsidRPr="006A786C">
              <w:rPr>
                <w:sz w:val="24"/>
                <w:szCs w:val="24"/>
              </w:rPr>
              <w:t>akreuder@iastate.edu</w:t>
            </w:r>
          </w:p>
        </w:tc>
      </w:tr>
      <w:tr w:rsidR="00AF523F" w:rsidRPr="00B94EB0" w14:paraId="5BEF7EA7" w14:textId="77777777" w:rsidTr="001211AD">
        <w:trPr>
          <w:trHeight w:val="276"/>
        </w:trPr>
        <w:tc>
          <w:tcPr>
            <w:tcW w:w="2704" w:type="dxa"/>
          </w:tcPr>
          <w:p w14:paraId="308A191A" w14:textId="77777777" w:rsidR="00AF523F" w:rsidRPr="006A786C" w:rsidRDefault="00AF523F" w:rsidP="00060DED">
            <w:pPr>
              <w:pStyle w:val="TableParagraph"/>
              <w:spacing w:line="240" w:lineRule="auto"/>
              <w:ind w:left="112"/>
              <w:jc w:val="left"/>
              <w:rPr>
                <w:sz w:val="24"/>
                <w:szCs w:val="24"/>
              </w:rPr>
            </w:pPr>
            <w:r w:rsidRPr="006A786C">
              <w:rPr>
                <w:sz w:val="24"/>
                <w:szCs w:val="24"/>
              </w:rPr>
              <w:t>Amy Omer</w:t>
            </w:r>
          </w:p>
        </w:tc>
        <w:tc>
          <w:tcPr>
            <w:tcW w:w="3334" w:type="dxa"/>
          </w:tcPr>
          <w:p w14:paraId="3CF1C6F3" w14:textId="77777777" w:rsidR="00AF523F" w:rsidRPr="006A786C" w:rsidRDefault="00AF523F" w:rsidP="00060DED">
            <w:pPr>
              <w:pStyle w:val="TableParagraph"/>
              <w:spacing w:line="240" w:lineRule="auto"/>
              <w:ind w:left="591" w:right="196"/>
              <w:rPr>
                <w:sz w:val="24"/>
                <w:szCs w:val="24"/>
              </w:rPr>
            </w:pPr>
            <w:r w:rsidRPr="006A786C">
              <w:rPr>
                <w:sz w:val="24"/>
                <w:szCs w:val="24"/>
              </w:rPr>
              <w:t>FDA/CVM</w:t>
            </w:r>
          </w:p>
        </w:tc>
        <w:tc>
          <w:tcPr>
            <w:tcW w:w="3320" w:type="dxa"/>
          </w:tcPr>
          <w:p w14:paraId="226A1D37" w14:textId="77777777" w:rsidR="00AF523F" w:rsidRPr="006A786C" w:rsidRDefault="003526E7" w:rsidP="00060DED">
            <w:pPr>
              <w:pStyle w:val="TableParagraph"/>
              <w:spacing w:line="240" w:lineRule="auto"/>
              <w:ind w:right="203"/>
              <w:rPr>
                <w:sz w:val="24"/>
                <w:szCs w:val="24"/>
              </w:rPr>
            </w:pPr>
            <w:hyperlink r:id="rId7">
              <w:r w:rsidR="00AF523F" w:rsidRPr="006A786C">
                <w:rPr>
                  <w:sz w:val="24"/>
                  <w:szCs w:val="24"/>
                </w:rPr>
                <w:t>Amy.Omer@fda.hhs.gov</w:t>
              </w:r>
            </w:hyperlink>
          </w:p>
        </w:tc>
      </w:tr>
      <w:tr w:rsidR="00AF523F" w:rsidRPr="00B94EB0" w14:paraId="7D6B77E1" w14:textId="77777777" w:rsidTr="001211AD">
        <w:trPr>
          <w:trHeight w:val="276"/>
        </w:trPr>
        <w:tc>
          <w:tcPr>
            <w:tcW w:w="2704" w:type="dxa"/>
          </w:tcPr>
          <w:p w14:paraId="0DDAA4F0" w14:textId="77777777" w:rsidR="00AF523F" w:rsidRPr="006A786C" w:rsidRDefault="00AF523F" w:rsidP="00060DED">
            <w:pPr>
              <w:pStyle w:val="TableParagraph"/>
              <w:spacing w:line="240" w:lineRule="auto"/>
              <w:ind w:left="112"/>
              <w:jc w:val="left"/>
              <w:rPr>
                <w:sz w:val="24"/>
                <w:szCs w:val="24"/>
              </w:rPr>
            </w:pPr>
            <w:r w:rsidRPr="006A786C">
              <w:rPr>
                <w:sz w:val="24"/>
                <w:szCs w:val="24"/>
              </w:rPr>
              <w:t>Cat Bens</w:t>
            </w:r>
          </w:p>
        </w:tc>
        <w:tc>
          <w:tcPr>
            <w:tcW w:w="3334" w:type="dxa"/>
          </w:tcPr>
          <w:p w14:paraId="17F63D9E" w14:textId="77777777" w:rsidR="00AF523F" w:rsidRPr="006A786C" w:rsidRDefault="00AF523F" w:rsidP="00060DED">
            <w:pPr>
              <w:pStyle w:val="TableParagraph"/>
              <w:spacing w:line="240" w:lineRule="auto"/>
              <w:ind w:left="591" w:right="196"/>
              <w:rPr>
                <w:sz w:val="24"/>
                <w:szCs w:val="24"/>
              </w:rPr>
            </w:pPr>
            <w:r w:rsidRPr="006A786C">
              <w:rPr>
                <w:sz w:val="24"/>
                <w:szCs w:val="24"/>
              </w:rPr>
              <w:t>Colorado State University</w:t>
            </w:r>
          </w:p>
        </w:tc>
        <w:tc>
          <w:tcPr>
            <w:tcW w:w="3320" w:type="dxa"/>
          </w:tcPr>
          <w:p w14:paraId="5CA6933D" w14:textId="77777777" w:rsidR="00AF523F" w:rsidRPr="006A786C" w:rsidRDefault="003526E7" w:rsidP="00060DED">
            <w:pPr>
              <w:pStyle w:val="TableParagraph"/>
              <w:spacing w:line="240" w:lineRule="auto"/>
              <w:ind w:right="203"/>
              <w:rPr>
                <w:sz w:val="24"/>
                <w:szCs w:val="24"/>
              </w:rPr>
            </w:pPr>
            <w:hyperlink r:id="rId8">
              <w:r w:rsidR="00AF523F" w:rsidRPr="006A786C">
                <w:rPr>
                  <w:sz w:val="24"/>
                  <w:szCs w:val="24"/>
                </w:rPr>
                <w:t>Cat.Bens@colostate.edu</w:t>
              </w:r>
            </w:hyperlink>
          </w:p>
        </w:tc>
      </w:tr>
      <w:tr w:rsidR="00AF523F" w:rsidRPr="00B94EB0" w14:paraId="3D859878" w14:textId="77777777" w:rsidTr="001211AD">
        <w:trPr>
          <w:trHeight w:val="275"/>
        </w:trPr>
        <w:tc>
          <w:tcPr>
            <w:tcW w:w="2704" w:type="dxa"/>
          </w:tcPr>
          <w:p w14:paraId="1EE2E216" w14:textId="77777777" w:rsidR="00AF523F" w:rsidRPr="006A786C" w:rsidRDefault="00AF523F" w:rsidP="00060DED">
            <w:pPr>
              <w:pStyle w:val="TableParagraph"/>
              <w:spacing w:line="240" w:lineRule="auto"/>
              <w:ind w:left="112"/>
              <w:jc w:val="left"/>
              <w:rPr>
                <w:sz w:val="24"/>
                <w:szCs w:val="24"/>
              </w:rPr>
            </w:pPr>
            <w:r w:rsidRPr="006A786C">
              <w:rPr>
                <w:sz w:val="24"/>
                <w:szCs w:val="24"/>
              </w:rPr>
              <w:t>John Babish</w:t>
            </w:r>
          </w:p>
        </w:tc>
        <w:tc>
          <w:tcPr>
            <w:tcW w:w="3334" w:type="dxa"/>
          </w:tcPr>
          <w:p w14:paraId="0108167A" w14:textId="77777777" w:rsidR="00AF523F" w:rsidRPr="006A786C" w:rsidRDefault="00AF523F" w:rsidP="00060DED">
            <w:pPr>
              <w:pStyle w:val="TableParagraph"/>
              <w:spacing w:line="240" w:lineRule="auto"/>
              <w:ind w:left="591" w:right="196"/>
              <w:rPr>
                <w:sz w:val="24"/>
                <w:szCs w:val="24"/>
              </w:rPr>
            </w:pPr>
            <w:r w:rsidRPr="006A786C">
              <w:rPr>
                <w:sz w:val="24"/>
                <w:szCs w:val="24"/>
              </w:rPr>
              <w:t>MUADP/</w:t>
            </w:r>
          </w:p>
        </w:tc>
        <w:tc>
          <w:tcPr>
            <w:tcW w:w="3320" w:type="dxa"/>
          </w:tcPr>
          <w:p w14:paraId="2E52E771" w14:textId="77777777" w:rsidR="00AF523F" w:rsidRPr="006A786C" w:rsidRDefault="003526E7" w:rsidP="00060DED">
            <w:pPr>
              <w:pStyle w:val="TableParagraph"/>
              <w:spacing w:line="240" w:lineRule="auto"/>
              <w:ind w:right="203"/>
              <w:rPr>
                <w:sz w:val="24"/>
                <w:szCs w:val="24"/>
              </w:rPr>
            </w:pPr>
            <w:hyperlink r:id="rId9">
              <w:r w:rsidR="00AF523F" w:rsidRPr="006A786C">
                <w:rPr>
                  <w:sz w:val="24"/>
                  <w:szCs w:val="24"/>
                </w:rPr>
                <w:t>jgb7@cornell.edu</w:t>
              </w:r>
            </w:hyperlink>
          </w:p>
        </w:tc>
      </w:tr>
      <w:tr w:rsidR="00AF523F" w:rsidRPr="00B94EB0" w14:paraId="7D87E0F6" w14:textId="77777777" w:rsidTr="001211AD">
        <w:trPr>
          <w:trHeight w:val="275"/>
        </w:trPr>
        <w:tc>
          <w:tcPr>
            <w:tcW w:w="2704" w:type="dxa"/>
          </w:tcPr>
          <w:p w14:paraId="4936FE56" w14:textId="77777777" w:rsidR="00AF523F" w:rsidRPr="006A786C" w:rsidRDefault="00AF523F" w:rsidP="00060DED">
            <w:pPr>
              <w:pStyle w:val="TableParagraph"/>
              <w:spacing w:line="240" w:lineRule="auto"/>
              <w:ind w:left="112"/>
              <w:jc w:val="left"/>
              <w:rPr>
                <w:sz w:val="24"/>
                <w:szCs w:val="24"/>
              </w:rPr>
            </w:pPr>
            <w:r w:rsidRPr="006A786C">
              <w:rPr>
                <w:sz w:val="24"/>
                <w:szCs w:val="24"/>
              </w:rPr>
              <w:t>Margaret Smith</w:t>
            </w:r>
          </w:p>
        </w:tc>
        <w:tc>
          <w:tcPr>
            <w:tcW w:w="3334" w:type="dxa"/>
          </w:tcPr>
          <w:p w14:paraId="5DC7F704" w14:textId="77777777" w:rsidR="00AF523F" w:rsidRPr="006A786C" w:rsidRDefault="00AF523F" w:rsidP="00060DED">
            <w:pPr>
              <w:pStyle w:val="TableParagraph"/>
              <w:spacing w:line="240" w:lineRule="auto"/>
              <w:ind w:left="591" w:right="196"/>
              <w:rPr>
                <w:sz w:val="24"/>
                <w:szCs w:val="24"/>
              </w:rPr>
            </w:pPr>
            <w:r w:rsidRPr="006A786C">
              <w:rPr>
                <w:sz w:val="24"/>
                <w:szCs w:val="24"/>
              </w:rPr>
              <w:t>NEAES</w:t>
            </w:r>
          </w:p>
        </w:tc>
        <w:tc>
          <w:tcPr>
            <w:tcW w:w="3320" w:type="dxa"/>
          </w:tcPr>
          <w:p w14:paraId="5B5C431F" w14:textId="77777777" w:rsidR="00AF523F" w:rsidRPr="006A786C" w:rsidRDefault="003526E7" w:rsidP="00060DED">
            <w:pPr>
              <w:pStyle w:val="TableParagraph"/>
              <w:spacing w:line="240" w:lineRule="auto"/>
              <w:ind w:right="203"/>
              <w:rPr>
                <w:sz w:val="24"/>
                <w:szCs w:val="24"/>
              </w:rPr>
            </w:pPr>
            <w:hyperlink r:id="rId10">
              <w:r w:rsidR="00AF523F" w:rsidRPr="006A786C">
                <w:rPr>
                  <w:sz w:val="24"/>
                  <w:szCs w:val="24"/>
                </w:rPr>
                <w:t>mes25@cornell.edu</w:t>
              </w:r>
            </w:hyperlink>
          </w:p>
        </w:tc>
      </w:tr>
      <w:tr w:rsidR="00AF523F" w:rsidRPr="00B94EB0" w14:paraId="32FEF652" w14:textId="77777777" w:rsidTr="001211AD">
        <w:trPr>
          <w:trHeight w:val="276"/>
        </w:trPr>
        <w:tc>
          <w:tcPr>
            <w:tcW w:w="2704" w:type="dxa"/>
          </w:tcPr>
          <w:p w14:paraId="60CE425D" w14:textId="77777777" w:rsidR="00AF523F" w:rsidRPr="006A786C" w:rsidRDefault="00AF523F" w:rsidP="00060DED">
            <w:pPr>
              <w:pStyle w:val="TableParagraph"/>
              <w:spacing w:line="240" w:lineRule="auto"/>
              <w:ind w:left="112"/>
              <w:jc w:val="left"/>
              <w:rPr>
                <w:sz w:val="24"/>
                <w:szCs w:val="24"/>
              </w:rPr>
            </w:pPr>
            <w:r w:rsidRPr="006A786C">
              <w:rPr>
                <w:sz w:val="24"/>
                <w:szCs w:val="24"/>
              </w:rPr>
              <w:t xml:space="preserve">Mark </w:t>
            </w:r>
            <w:proofErr w:type="spellStart"/>
            <w:r w:rsidRPr="006A786C">
              <w:rPr>
                <w:sz w:val="24"/>
                <w:szCs w:val="24"/>
              </w:rPr>
              <w:t>Mirando</w:t>
            </w:r>
            <w:proofErr w:type="spellEnd"/>
          </w:p>
        </w:tc>
        <w:tc>
          <w:tcPr>
            <w:tcW w:w="3334" w:type="dxa"/>
          </w:tcPr>
          <w:p w14:paraId="63D4D382" w14:textId="77777777" w:rsidR="00AF523F" w:rsidRPr="006A786C" w:rsidRDefault="00AF523F" w:rsidP="00060DED">
            <w:pPr>
              <w:pStyle w:val="TableParagraph"/>
              <w:spacing w:line="240" w:lineRule="auto"/>
              <w:ind w:left="591" w:right="196"/>
              <w:rPr>
                <w:sz w:val="24"/>
                <w:szCs w:val="24"/>
              </w:rPr>
            </w:pPr>
            <w:r w:rsidRPr="006A786C">
              <w:rPr>
                <w:sz w:val="24"/>
                <w:szCs w:val="24"/>
              </w:rPr>
              <w:t>USDA/NIFA</w:t>
            </w:r>
          </w:p>
        </w:tc>
        <w:tc>
          <w:tcPr>
            <w:tcW w:w="3320" w:type="dxa"/>
          </w:tcPr>
          <w:p w14:paraId="76C30760" w14:textId="77777777" w:rsidR="00AF523F" w:rsidRPr="006A786C" w:rsidRDefault="003526E7" w:rsidP="00060DED">
            <w:pPr>
              <w:pStyle w:val="TableParagraph"/>
              <w:spacing w:line="240" w:lineRule="auto"/>
              <w:ind w:right="203"/>
              <w:rPr>
                <w:sz w:val="24"/>
                <w:szCs w:val="24"/>
              </w:rPr>
            </w:pPr>
            <w:hyperlink r:id="rId11">
              <w:r w:rsidR="00AF523F" w:rsidRPr="006A786C">
                <w:rPr>
                  <w:sz w:val="24"/>
                  <w:szCs w:val="24"/>
                </w:rPr>
                <w:t>mark.mirando@usda.gov</w:t>
              </w:r>
            </w:hyperlink>
          </w:p>
        </w:tc>
      </w:tr>
      <w:tr w:rsidR="00AF523F" w:rsidRPr="00B94EB0" w14:paraId="5D2793E4" w14:textId="77777777" w:rsidTr="001211AD">
        <w:trPr>
          <w:trHeight w:val="275"/>
        </w:trPr>
        <w:tc>
          <w:tcPr>
            <w:tcW w:w="2704" w:type="dxa"/>
          </w:tcPr>
          <w:p w14:paraId="7A3C78C9" w14:textId="77777777" w:rsidR="00AF523F" w:rsidRPr="006A786C" w:rsidRDefault="00AF523F" w:rsidP="00060DED">
            <w:pPr>
              <w:pStyle w:val="TableParagraph"/>
              <w:spacing w:line="240" w:lineRule="auto"/>
              <w:ind w:left="112"/>
              <w:jc w:val="left"/>
              <w:rPr>
                <w:sz w:val="24"/>
                <w:szCs w:val="24"/>
              </w:rPr>
            </w:pPr>
            <w:r w:rsidRPr="006A786C">
              <w:rPr>
                <w:sz w:val="24"/>
                <w:szCs w:val="24"/>
              </w:rPr>
              <w:t>Meg Oeller</w:t>
            </w:r>
          </w:p>
        </w:tc>
        <w:tc>
          <w:tcPr>
            <w:tcW w:w="3334" w:type="dxa"/>
          </w:tcPr>
          <w:p w14:paraId="7CF29E6B" w14:textId="77777777" w:rsidR="00AF523F" w:rsidRPr="006A786C" w:rsidRDefault="00AF523F" w:rsidP="00060DED">
            <w:pPr>
              <w:pStyle w:val="TableParagraph"/>
              <w:spacing w:line="240" w:lineRule="auto"/>
              <w:ind w:left="591" w:right="196"/>
              <w:rPr>
                <w:sz w:val="24"/>
                <w:szCs w:val="24"/>
              </w:rPr>
            </w:pPr>
            <w:r w:rsidRPr="006A786C">
              <w:rPr>
                <w:sz w:val="24"/>
                <w:szCs w:val="24"/>
              </w:rPr>
              <w:t>FDA/CVM</w:t>
            </w:r>
          </w:p>
        </w:tc>
        <w:tc>
          <w:tcPr>
            <w:tcW w:w="3320" w:type="dxa"/>
          </w:tcPr>
          <w:p w14:paraId="02B46231" w14:textId="77777777" w:rsidR="00AF523F" w:rsidRPr="006A786C" w:rsidRDefault="003526E7" w:rsidP="00060DED">
            <w:pPr>
              <w:pStyle w:val="TableParagraph"/>
              <w:spacing w:line="240" w:lineRule="auto"/>
              <w:ind w:right="203"/>
              <w:rPr>
                <w:sz w:val="24"/>
                <w:szCs w:val="24"/>
              </w:rPr>
            </w:pPr>
            <w:hyperlink r:id="rId12">
              <w:r w:rsidR="00AF523F" w:rsidRPr="006A786C">
                <w:rPr>
                  <w:sz w:val="24"/>
                  <w:szCs w:val="24"/>
                </w:rPr>
                <w:t>Margaret.Oeller@fda.hhs.gov</w:t>
              </w:r>
            </w:hyperlink>
          </w:p>
        </w:tc>
      </w:tr>
      <w:tr w:rsidR="00AF523F" w:rsidRPr="00B94EB0" w14:paraId="523F9D7E" w14:textId="77777777" w:rsidTr="001211AD">
        <w:trPr>
          <w:trHeight w:val="276"/>
        </w:trPr>
        <w:tc>
          <w:tcPr>
            <w:tcW w:w="2704" w:type="dxa"/>
          </w:tcPr>
          <w:p w14:paraId="52618478" w14:textId="77777777" w:rsidR="00AF523F" w:rsidRPr="006A786C" w:rsidRDefault="00AF523F" w:rsidP="00060DED">
            <w:pPr>
              <w:pStyle w:val="TableParagraph"/>
              <w:spacing w:line="240" w:lineRule="auto"/>
              <w:ind w:left="112"/>
              <w:jc w:val="left"/>
              <w:rPr>
                <w:sz w:val="24"/>
                <w:szCs w:val="24"/>
              </w:rPr>
            </w:pPr>
            <w:r w:rsidRPr="006A786C">
              <w:rPr>
                <w:sz w:val="24"/>
                <w:szCs w:val="24"/>
              </w:rPr>
              <w:t>Rodman G. Getchell</w:t>
            </w:r>
          </w:p>
        </w:tc>
        <w:tc>
          <w:tcPr>
            <w:tcW w:w="3334" w:type="dxa"/>
          </w:tcPr>
          <w:p w14:paraId="0223DCFE" w14:textId="77777777" w:rsidR="00AF523F" w:rsidRPr="006A786C" w:rsidRDefault="00AF523F" w:rsidP="00060DED">
            <w:pPr>
              <w:pStyle w:val="TableParagraph"/>
              <w:spacing w:line="240" w:lineRule="auto"/>
              <w:ind w:left="591" w:right="196"/>
              <w:rPr>
                <w:sz w:val="24"/>
                <w:szCs w:val="24"/>
              </w:rPr>
            </w:pPr>
            <w:r w:rsidRPr="006A786C">
              <w:rPr>
                <w:sz w:val="24"/>
                <w:szCs w:val="24"/>
              </w:rPr>
              <w:t>Cornell University</w:t>
            </w:r>
          </w:p>
        </w:tc>
        <w:tc>
          <w:tcPr>
            <w:tcW w:w="3320" w:type="dxa"/>
          </w:tcPr>
          <w:p w14:paraId="34E1B73E" w14:textId="77777777" w:rsidR="00AF523F" w:rsidRPr="006A786C" w:rsidRDefault="003526E7" w:rsidP="00060DED">
            <w:pPr>
              <w:pStyle w:val="TableParagraph"/>
              <w:spacing w:line="240" w:lineRule="auto"/>
              <w:ind w:right="203"/>
              <w:rPr>
                <w:sz w:val="24"/>
                <w:szCs w:val="24"/>
              </w:rPr>
            </w:pPr>
            <w:hyperlink r:id="rId13">
              <w:r w:rsidR="00AF523F" w:rsidRPr="006A786C">
                <w:rPr>
                  <w:sz w:val="24"/>
                  <w:szCs w:val="24"/>
                </w:rPr>
                <w:t>rgg4@cornell.edu</w:t>
              </w:r>
            </w:hyperlink>
          </w:p>
        </w:tc>
      </w:tr>
      <w:tr w:rsidR="00AF523F" w:rsidRPr="00B94EB0" w14:paraId="0055DA86" w14:textId="77777777" w:rsidTr="001211AD">
        <w:trPr>
          <w:trHeight w:val="275"/>
        </w:trPr>
        <w:tc>
          <w:tcPr>
            <w:tcW w:w="2704" w:type="dxa"/>
            <w:tcBorders>
              <w:bottom w:val="single" w:sz="4" w:space="0" w:color="auto"/>
            </w:tcBorders>
          </w:tcPr>
          <w:p w14:paraId="6D89BEB1" w14:textId="77777777" w:rsidR="00AF523F" w:rsidRPr="006A786C" w:rsidRDefault="00AF523F" w:rsidP="00060DED">
            <w:pPr>
              <w:pStyle w:val="TableParagraph"/>
              <w:spacing w:line="240" w:lineRule="auto"/>
              <w:ind w:left="112"/>
              <w:jc w:val="left"/>
              <w:rPr>
                <w:sz w:val="24"/>
                <w:szCs w:val="24"/>
              </w:rPr>
            </w:pPr>
            <w:r w:rsidRPr="006A786C">
              <w:rPr>
                <w:sz w:val="24"/>
                <w:szCs w:val="24"/>
              </w:rPr>
              <w:t>Ronald Griffith</w:t>
            </w:r>
          </w:p>
        </w:tc>
        <w:tc>
          <w:tcPr>
            <w:tcW w:w="3334" w:type="dxa"/>
            <w:tcBorders>
              <w:bottom w:val="single" w:sz="4" w:space="0" w:color="auto"/>
            </w:tcBorders>
          </w:tcPr>
          <w:p w14:paraId="586576EC" w14:textId="77777777" w:rsidR="00AF523F" w:rsidRPr="006A786C" w:rsidRDefault="00AF523F" w:rsidP="00060DED">
            <w:pPr>
              <w:pStyle w:val="TableParagraph"/>
              <w:spacing w:line="240" w:lineRule="auto"/>
              <w:ind w:left="591" w:right="196"/>
              <w:rPr>
                <w:sz w:val="24"/>
                <w:szCs w:val="24"/>
              </w:rPr>
            </w:pPr>
            <w:r w:rsidRPr="006A786C">
              <w:rPr>
                <w:sz w:val="24"/>
                <w:szCs w:val="24"/>
              </w:rPr>
              <w:t>Iowa State University</w:t>
            </w:r>
          </w:p>
        </w:tc>
        <w:tc>
          <w:tcPr>
            <w:tcW w:w="3320" w:type="dxa"/>
            <w:tcBorders>
              <w:bottom w:val="single" w:sz="4" w:space="0" w:color="auto"/>
            </w:tcBorders>
          </w:tcPr>
          <w:p w14:paraId="479027DB" w14:textId="77777777" w:rsidR="00AF523F" w:rsidRPr="006A786C" w:rsidRDefault="003526E7" w:rsidP="00060DED">
            <w:pPr>
              <w:pStyle w:val="TableParagraph"/>
              <w:spacing w:line="240" w:lineRule="auto"/>
              <w:ind w:right="203"/>
              <w:rPr>
                <w:sz w:val="24"/>
                <w:szCs w:val="24"/>
              </w:rPr>
            </w:pPr>
            <w:hyperlink r:id="rId14">
              <w:r w:rsidR="00AF523F" w:rsidRPr="006A786C">
                <w:rPr>
                  <w:sz w:val="24"/>
                  <w:szCs w:val="24"/>
                </w:rPr>
                <w:t>rgriffit@iastate.edu</w:t>
              </w:r>
            </w:hyperlink>
          </w:p>
        </w:tc>
      </w:tr>
    </w:tbl>
    <w:p w14:paraId="26D8D437" w14:textId="78913008" w:rsidR="00ED599F" w:rsidRPr="00AD46B9" w:rsidRDefault="00ED599F" w:rsidP="009D7E75">
      <w:pPr>
        <w:spacing w:before="120" w:after="120"/>
        <w:jc w:val="both"/>
        <w:rPr>
          <w:rFonts w:ascii="Times New Roman" w:hAnsi="Times New Roman" w:cs="Times New Roman"/>
          <w:b/>
        </w:rPr>
      </w:pPr>
      <w:r w:rsidRPr="00AD46B9">
        <w:rPr>
          <w:rFonts w:ascii="Times New Roman" w:hAnsi="Times New Roman" w:cs="Times New Roman"/>
          <w:b/>
        </w:rPr>
        <w:t>Process Improvement</w:t>
      </w:r>
    </w:p>
    <w:p w14:paraId="0C2A1CBE" w14:textId="77777777" w:rsidR="00ED599F" w:rsidRDefault="00ED599F" w:rsidP="009D7E75">
      <w:pPr>
        <w:spacing w:after="120"/>
        <w:ind w:firstLine="720"/>
        <w:jc w:val="both"/>
        <w:rPr>
          <w:rFonts w:ascii="Times New Roman" w:hAnsi="Times New Roman" w:cs="Times New Roman"/>
          <w:bCs/>
        </w:rPr>
      </w:pPr>
      <w:r w:rsidRPr="00ED599F">
        <w:rPr>
          <w:rFonts w:ascii="Times New Roman" w:hAnsi="Times New Roman" w:cs="Times New Roman"/>
          <w:bCs/>
        </w:rPr>
        <w:t xml:space="preserve">Dr. Omer completed MUADP’s registration with CVM’s </w:t>
      </w:r>
      <w:proofErr w:type="spellStart"/>
      <w:r w:rsidRPr="00ED599F">
        <w:rPr>
          <w:rFonts w:ascii="Times New Roman" w:hAnsi="Times New Roman" w:cs="Times New Roman"/>
          <w:bCs/>
        </w:rPr>
        <w:t>eSubmitter</w:t>
      </w:r>
      <w:proofErr w:type="spellEnd"/>
      <w:r w:rsidRPr="00ED599F">
        <w:rPr>
          <w:rFonts w:ascii="Times New Roman" w:hAnsi="Times New Roman" w:cs="Times New Roman"/>
          <w:bCs/>
        </w:rPr>
        <w:t xml:space="preserve"> program. </w:t>
      </w:r>
      <w:r w:rsidRPr="00ED599F">
        <w:rPr>
          <w:rFonts w:ascii="Times New Roman" w:hAnsi="Times New Roman" w:cs="Times New Roman"/>
          <w:bCs/>
          <w:color w:val="333333"/>
          <w:shd w:val="clear" w:color="auto" w:fill="FFFFFF"/>
        </w:rPr>
        <w:t xml:space="preserve">The CVM </w:t>
      </w:r>
      <w:proofErr w:type="spellStart"/>
      <w:r w:rsidRPr="00ED599F">
        <w:rPr>
          <w:rFonts w:ascii="Times New Roman" w:hAnsi="Times New Roman" w:cs="Times New Roman"/>
          <w:bCs/>
          <w:color w:val="333333"/>
          <w:shd w:val="clear" w:color="auto" w:fill="FFFFFF"/>
        </w:rPr>
        <w:t>eSubmitter</w:t>
      </w:r>
      <w:proofErr w:type="spellEnd"/>
      <w:r w:rsidRPr="00ED599F">
        <w:rPr>
          <w:rFonts w:ascii="Times New Roman" w:hAnsi="Times New Roman" w:cs="Times New Roman"/>
          <w:bCs/>
          <w:color w:val="333333"/>
          <w:shd w:val="clear" w:color="auto" w:fill="FFFFFF"/>
        </w:rPr>
        <w:t xml:space="preserve"> tool is an electronic, question-based submission tool that allows animal drug sponsors to electronically and securely submit information to CVM. All animal drug sponsors must use </w:t>
      </w:r>
      <w:proofErr w:type="spellStart"/>
      <w:r w:rsidRPr="00ED599F">
        <w:rPr>
          <w:rFonts w:ascii="Times New Roman" w:hAnsi="Times New Roman" w:cs="Times New Roman"/>
          <w:bCs/>
          <w:color w:val="333333"/>
          <w:shd w:val="clear" w:color="auto" w:fill="FFFFFF"/>
        </w:rPr>
        <w:t>eSubmitter</w:t>
      </w:r>
      <w:proofErr w:type="spellEnd"/>
      <w:r w:rsidRPr="00ED599F">
        <w:rPr>
          <w:rFonts w:ascii="Times New Roman" w:hAnsi="Times New Roman" w:cs="Times New Roman"/>
          <w:bCs/>
          <w:color w:val="333333"/>
          <w:shd w:val="clear" w:color="auto" w:fill="FFFFFF"/>
        </w:rPr>
        <w:t xml:space="preserve"> to submit information to CVM’s Office of New Animal Evaluation (ONADE). </w:t>
      </w:r>
    </w:p>
    <w:p w14:paraId="7516A5C0" w14:textId="2FDFC357" w:rsidR="001211AD" w:rsidRPr="00ED599F" w:rsidRDefault="00ED599F" w:rsidP="009D7E75">
      <w:pPr>
        <w:spacing w:after="120"/>
        <w:ind w:firstLine="720"/>
        <w:jc w:val="both"/>
        <w:rPr>
          <w:rFonts w:ascii="Times New Roman" w:hAnsi="Times New Roman" w:cs="Times New Roman"/>
          <w:bCs/>
        </w:rPr>
      </w:pPr>
      <w:r w:rsidRPr="00ED599F">
        <w:rPr>
          <w:rFonts w:ascii="Times New Roman" w:hAnsi="Times New Roman" w:cs="Times New Roman"/>
          <w:bCs/>
          <w:color w:val="333333"/>
          <w:shd w:val="clear" w:color="auto" w:fill="FFFFFF"/>
        </w:rPr>
        <w:t xml:space="preserve">Having the ability to submit to CVM electronically will provide increased efficiencies in the creation and delivery of submissions to CVM.  Additionally, </w:t>
      </w:r>
      <w:r w:rsidRPr="00ED599F">
        <w:rPr>
          <w:rFonts w:ascii="Times New Roman" w:hAnsi="Times New Roman" w:cs="Times New Roman"/>
          <w:bCs/>
        </w:rPr>
        <w:t xml:space="preserve">as a registered </w:t>
      </w:r>
      <w:proofErr w:type="spellStart"/>
      <w:r w:rsidRPr="00ED599F">
        <w:rPr>
          <w:rFonts w:ascii="Times New Roman" w:hAnsi="Times New Roman" w:cs="Times New Roman"/>
          <w:bCs/>
        </w:rPr>
        <w:t>eSubmitter</w:t>
      </w:r>
      <w:proofErr w:type="spellEnd"/>
      <w:r w:rsidRPr="00ED599F">
        <w:rPr>
          <w:rFonts w:ascii="Times New Roman" w:hAnsi="Times New Roman" w:cs="Times New Roman"/>
          <w:bCs/>
        </w:rPr>
        <w:t xml:space="preserve"> user, MUADP will now qualify for shortened reactivation or resubmission review times on certain critical submissions, as defined by the latest Animal Drug User Fee Act (ADUFA III).</w:t>
      </w:r>
    </w:p>
    <w:p w14:paraId="4962131D" w14:textId="0CDC28D2" w:rsidR="00A76F07" w:rsidRPr="006506C6" w:rsidRDefault="00114712" w:rsidP="009D7E75">
      <w:pPr>
        <w:spacing w:before="120"/>
        <w:jc w:val="both"/>
        <w:rPr>
          <w:rFonts w:ascii="Times New Roman" w:hAnsi="Times New Roman" w:cs="Times New Roman"/>
          <w:i/>
          <w:iCs/>
        </w:rPr>
      </w:pPr>
      <w:r w:rsidRPr="006506C6">
        <w:rPr>
          <w:rFonts w:ascii="Times New Roman" w:hAnsi="Times New Roman" w:cs="Times New Roman"/>
          <w:i/>
          <w:iCs/>
        </w:rPr>
        <w:t>3</w:t>
      </w:r>
      <w:r w:rsidR="00814FD8" w:rsidRPr="006506C6">
        <w:rPr>
          <w:rFonts w:ascii="Times New Roman" w:hAnsi="Times New Roman" w:cs="Times New Roman"/>
          <w:i/>
          <w:iCs/>
        </w:rPr>
        <w:t xml:space="preserve">. Continue </w:t>
      </w:r>
      <w:r w:rsidR="00D51408" w:rsidRPr="006506C6">
        <w:rPr>
          <w:rFonts w:ascii="Times New Roman" w:hAnsi="Times New Roman" w:cs="Times New Roman"/>
          <w:i/>
          <w:iCs/>
        </w:rPr>
        <w:t xml:space="preserve">research on current outstanding projects. </w:t>
      </w:r>
    </w:p>
    <w:p w14:paraId="0EDD5333" w14:textId="564A8A25" w:rsidR="00114712" w:rsidRPr="006506C6" w:rsidRDefault="00E40088" w:rsidP="009D7E75">
      <w:pPr>
        <w:ind w:firstLine="720"/>
        <w:jc w:val="both"/>
        <w:rPr>
          <w:rFonts w:ascii="Times New Roman" w:hAnsi="Times New Roman" w:cs="Times New Roman"/>
        </w:rPr>
      </w:pPr>
      <w:r w:rsidRPr="00135931">
        <w:rPr>
          <w:rFonts w:ascii="Times New Roman" w:hAnsi="Times New Roman" w:cs="Times New Roman"/>
        </w:rPr>
        <w:t xml:space="preserve">Thirteen </w:t>
      </w:r>
      <w:r w:rsidR="006506C6" w:rsidRPr="00135931">
        <w:rPr>
          <w:rFonts w:ascii="Times New Roman" w:hAnsi="Times New Roman" w:cs="Times New Roman"/>
        </w:rPr>
        <w:t>projects are presently a</w:t>
      </w:r>
      <w:r w:rsidR="00135931" w:rsidRPr="00135931">
        <w:rPr>
          <w:rFonts w:ascii="Times New Roman" w:hAnsi="Times New Roman" w:cs="Times New Roman"/>
        </w:rPr>
        <w:t>ctive</w:t>
      </w:r>
      <w:r w:rsidR="006506C6" w:rsidRPr="00135931">
        <w:rPr>
          <w:rFonts w:ascii="Times New Roman" w:hAnsi="Times New Roman" w:cs="Times New Roman"/>
        </w:rPr>
        <w:t xml:space="preserve"> in the Program (Table 2). Details of </w:t>
      </w:r>
      <w:r w:rsidR="00135931" w:rsidRPr="00135931">
        <w:rPr>
          <w:rFonts w:ascii="Times New Roman" w:hAnsi="Times New Roman" w:cs="Times New Roman"/>
        </w:rPr>
        <w:t>progress on nine of those this year</w:t>
      </w:r>
      <w:r w:rsidR="006506C6" w:rsidRPr="00135931">
        <w:rPr>
          <w:rFonts w:ascii="Times New Roman" w:hAnsi="Times New Roman" w:cs="Times New Roman"/>
        </w:rPr>
        <w:t xml:space="preserve"> are provided below.</w:t>
      </w:r>
      <w:r w:rsidR="006506C6" w:rsidRPr="006506C6">
        <w:rPr>
          <w:rFonts w:ascii="Times New Roman" w:hAnsi="Times New Roman" w:cs="Times New Roman"/>
        </w:rPr>
        <w:t xml:space="preserve"> </w:t>
      </w:r>
    </w:p>
    <w:p w14:paraId="384477B5" w14:textId="44D3DD4B" w:rsidR="00462C91" w:rsidRPr="006506C6" w:rsidRDefault="00462C91" w:rsidP="00060DED">
      <w:pPr>
        <w:spacing w:before="120"/>
        <w:rPr>
          <w:rFonts w:ascii="Times New Roman" w:hAnsi="Times New Roman" w:cs="Times New Roman"/>
          <w:sz w:val="22"/>
          <w:szCs w:val="22"/>
        </w:rPr>
      </w:pPr>
      <w:r w:rsidRPr="006506C6">
        <w:rPr>
          <w:rFonts w:ascii="Times New Roman" w:hAnsi="Times New Roman" w:cs="Times New Roman"/>
          <w:b/>
          <w:bCs/>
          <w:sz w:val="22"/>
          <w:szCs w:val="22"/>
        </w:rPr>
        <w:t xml:space="preserve">Table </w:t>
      </w:r>
      <w:r w:rsidR="00A76F07" w:rsidRPr="006506C6">
        <w:rPr>
          <w:rFonts w:ascii="Times New Roman" w:hAnsi="Times New Roman" w:cs="Times New Roman"/>
          <w:b/>
          <w:bCs/>
          <w:sz w:val="22"/>
          <w:szCs w:val="22"/>
        </w:rPr>
        <w:t>2</w:t>
      </w:r>
      <w:r w:rsidRPr="006506C6">
        <w:rPr>
          <w:rFonts w:ascii="Times New Roman" w:hAnsi="Times New Roman" w:cs="Times New Roman"/>
          <w:b/>
          <w:bCs/>
          <w:sz w:val="22"/>
          <w:szCs w:val="22"/>
        </w:rPr>
        <w:t>.</w:t>
      </w:r>
      <w:r w:rsidRPr="006506C6">
        <w:rPr>
          <w:rFonts w:ascii="Times New Roman" w:hAnsi="Times New Roman" w:cs="Times New Roman"/>
          <w:sz w:val="22"/>
          <w:szCs w:val="22"/>
        </w:rPr>
        <w:t xml:space="preserve"> Current Projects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1743"/>
        <w:gridCol w:w="1383"/>
        <w:gridCol w:w="3809"/>
      </w:tblGrid>
      <w:tr w:rsidR="009128C9" w:rsidRPr="006506C6" w14:paraId="755D1A23" w14:textId="77777777" w:rsidTr="00D528C4">
        <w:tc>
          <w:tcPr>
            <w:tcW w:w="0" w:type="auto"/>
            <w:tcBorders>
              <w:top w:val="single" w:sz="4" w:space="0" w:color="auto"/>
              <w:bottom w:val="single" w:sz="4" w:space="0" w:color="auto"/>
            </w:tcBorders>
            <w:shd w:val="clear" w:color="auto" w:fill="BFBFBF" w:themeFill="background1" w:themeFillShade="BF"/>
          </w:tcPr>
          <w:p w14:paraId="59BE5E35" w14:textId="78C36742" w:rsidR="009128C9" w:rsidRPr="00D528C4" w:rsidRDefault="009128C9" w:rsidP="00060DED">
            <w:pPr>
              <w:jc w:val="center"/>
              <w:rPr>
                <w:rFonts w:ascii="Times New Roman" w:hAnsi="Times New Roman" w:cs="Times New Roman"/>
                <w:b/>
                <w:bCs/>
              </w:rPr>
            </w:pPr>
            <w:r w:rsidRPr="00D528C4">
              <w:rPr>
                <w:rFonts w:ascii="Times New Roman" w:hAnsi="Times New Roman" w:cs="Times New Roman"/>
                <w:b/>
                <w:bCs/>
              </w:rPr>
              <w:t>Drug</w:t>
            </w:r>
          </w:p>
        </w:tc>
        <w:tc>
          <w:tcPr>
            <w:tcW w:w="0" w:type="auto"/>
            <w:tcBorders>
              <w:top w:val="single" w:sz="4" w:space="0" w:color="auto"/>
              <w:bottom w:val="single" w:sz="4" w:space="0" w:color="auto"/>
            </w:tcBorders>
            <w:shd w:val="clear" w:color="auto" w:fill="BFBFBF" w:themeFill="background1" w:themeFillShade="BF"/>
          </w:tcPr>
          <w:p w14:paraId="77310B8A" w14:textId="033AD147" w:rsidR="009128C9" w:rsidRPr="00D528C4" w:rsidRDefault="009128C9" w:rsidP="00060DED">
            <w:pPr>
              <w:jc w:val="center"/>
              <w:rPr>
                <w:rFonts w:ascii="Times New Roman" w:hAnsi="Times New Roman" w:cs="Times New Roman"/>
                <w:b/>
                <w:bCs/>
              </w:rPr>
            </w:pPr>
            <w:r w:rsidRPr="00D528C4">
              <w:rPr>
                <w:rFonts w:ascii="Times New Roman" w:hAnsi="Times New Roman" w:cs="Times New Roman"/>
                <w:b/>
                <w:bCs/>
              </w:rPr>
              <w:t>Formulation</w:t>
            </w:r>
          </w:p>
        </w:tc>
        <w:tc>
          <w:tcPr>
            <w:tcW w:w="0" w:type="auto"/>
            <w:tcBorders>
              <w:top w:val="single" w:sz="4" w:space="0" w:color="auto"/>
              <w:bottom w:val="single" w:sz="4" w:space="0" w:color="auto"/>
            </w:tcBorders>
            <w:shd w:val="clear" w:color="auto" w:fill="BFBFBF" w:themeFill="background1" w:themeFillShade="BF"/>
          </w:tcPr>
          <w:p w14:paraId="2F94A9BD" w14:textId="3EA621EF" w:rsidR="009128C9" w:rsidRPr="00D528C4" w:rsidRDefault="009128C9" w:rsidP="00060DED">
            <w:pPr>
              <w:jc w:val="center"/>
              <w:rPr>
                <w:rFonts w:ascii="Times New Roman" w:hAnsi="Times New Roman" w:cs="Times New Roman"/>
                <w:b/>
                <w:bCs/>
              </w:rPr>
            </w:pPr>
            <w:r w:rsidRPr="00D528C4">
              <w:rPr>
                <w:rFonts w:ascii="Times New Roman" w:hAnsi="Times New Roman" w:cs="Times New Roman"/>
                <w:b/>
                <w:bCs/>
              </w:rPr>
              <w:t>Species</w:t>
            </w:r>
          </w:p>
        </w:tc>
        <w:tc>
          <w:tcPr>
            <w:tcW w:w="0" w:type="auto"/>
            <w:tcBorders>
              <w:top w:val="single" w:sz="4" w:space="0" w:color="auto"/>
              <w:bottom w:val="single" w:sz="4" w:space="0" w:color="auto"/>
            </w:tcBorders>
            <w:shd w:val="clear" w:color="auto" w:fill="BFBFBF" w:themeFill="background1" w:themeFillShade="BF"/>
          </w:tcPr>
          <w:p w14:paraId="75409432" w14:textId="5E80F78E" w:rsidR="009128C9" w:rsidRPr="00D528C4" w:rsidRDefault="009128C9" w:rsidP="00060DED">
            <w:pPr>
              <w:jc w:val="center"/>
              <w:rPr>
                <w:rFonts w:ascii="Times New Roman" w:hAnsi="Times New Roman" w:cs="Times New Roman"/>
                <w:b/>
                <w:bCs/>
              </w:rPr>
            </w:pPr>
            <w:r w:rsidRPr="00D528C4">
              <w:rPr>
                <w:rFonts w:ascii="Times New Roman" w:hAnsi="Times New Roman" w:cs="Times New Roman"/>
                <w:b/>
                <w:bCs/>
              </w:rPr>
              <w:t>Indication</w:t>
            </w:r>
          </w:p>
        </w:tc>
      </w:tr>
      <w:tr w:rsidR="00D528C4" w:rsidRPr="00095CCD" w14:paraId="548CF5A8" w14:textId="77777777" w:rsidTr="00D528C4">
        <w:tc>
          <w:tcPr>
            <w:tcW w:w="0" w:type="auto"/>
            <w:tcBorders>
              <w:top w:val="single" w:sz="4" w:space="0" w:color="auto"/>
            </w:tcBorders>
          </w:tcPr>
          <w:p w14:paraId="2C111FBB" w14:textId="12EA6748" w:rsidR="009128C9" w:rsidRPr="00D528C4" w:rsidRDefault="009128C9" w:rsidP="00E806FB">
            <w:pPr>
              <w:rPr>
                <w:rFonts w:ascii="Times New Roman" w:hAnsi="Times New Roman" w:cs="Times New Roman"/>
              </w:rPr>
            </w:pPr>
            <w:r w:rsidRPr="00D528C4">
              <w:rPr>
                <w:rFonts w:ascii="Times New Roman" w:hAnsi="Times New Roman" w:cs="Times New Roman"/>
              </w:rPr>
              <w:t>Fenbendazole</w:t>
            </w:r>
          </w:p>
        </w:tc>
        <w:tc>
          <w:tcPr>
            <w:tcW w:w="0" w:type="auto"/>
            <w:tcBorders>
              <w:top w:val="single" w:sz="4" w:space="0" w:color="auto"/>
            </w:tcBorders>
          </w:tcPr>
          <w:p w14:paraId="27FB0DB8" w14:textId="4CA2FC81" w:rsidR="009128C9" w:rsidRPr="00D528C4" w:rsidRDefault="009128C9" w:rsidP="00060DED">
            <w:pPr>
              <w:jc w:val="center"/>
              <w:rPr>
                <w:rFonts w:ascii="Times New Roman" w:hAnsi="Times New Roman" w:cs="Times New Roman"/>
              </w:rPr>
            </w:pPr>
            <w:r w:rsidRPr="00D528C4">
              <w:rPr>
                <w:rFonts w:ascii="Times New Roman" w:hAnsi="Times New Roman" w:cs="Times New Roman"/>
              </w:rPr>
              <w:t>Premix</w:t>
            </w:r>
          </w:p>
        </w:tc>
        <w:tc>
          <w:tcPr>
            <w:tcW w:w="0" w:type="auto"/>
            <w:tcBorders>
              <w:top w:val="single" w:sz="4" w:space="0" w:color="auto"/>
            </w:tcBorders>
          </w:tcPr>
          <w:p w14:paraId="654A1BF1" w14:textId="15F26500" w:rsidR="009128C9" w:rsidRPr="00D528C4" w:rsidRDefault="009128C9" w:rsidP="00060DED">
            <w:pPr>
              <w:jc w:val="center"/>
              <w:rPr>
                <w:rFonts w:ascii="Times New Roman" w:hAnsi="Times New Roman" w:cs="Times New Roman"/>
              </w:rPr>
            </w:pPr>
            <w:r w:rsidRPr="00D528C4">
              <w:rPr>
                <w:rFonts w:ascii="Times New Roman" w:hAnsi="Times New Roman" w:cs="Times New Roman"/>
              </w:rPr>
              <w:t>Gamebirds</w:t>
            </w:r>
          </w:p>
        </w:tc>
        <w:tc>
          <w:tcPr>
            <w:tcW w:w="0" w:type="auto"/>
            <w:tcBorders>
              <w:top w:val="single" w:sz="4" w:space="0" w:color="auto"/>
            </w:tcBorders>
          </w:tcPr>
          <w:p w14:paraId="671ECD0E" w14:textId="3D6837FE" w:rsidR="009128C9" w:rsidRPr="00D528C4" w:rsidRDefault="009128C9" w:rsidP="00060DED">
            <w:pPr>
              <w:jc w:val="center"/>
              <w:rPr>
                <w:rFonts w:ascii="Times New Roman" w:hAnsi="Times New Roman" w:cs="Times New Roman"/>
              </w:rPr>
            </w:pPr>
            <w:r w:rsidRPr="00D528C4">
              <w:rPr>
                <w:rFonts w:ascii="Times New Roman" w:hAnsi="Times New Roman" w:cs="Times New Roman"/>
              </w:rPr>
              <w:t>GI Parasites</w:t>
            </w:r>
          </w:p>
        </w:tc>
      </w:tr>
      <w:tr w:rsidR="00D528C4" w:rsidRPr="00095CCD" w14:paraId="7AADD378" w14:textId="77777777" w:rsidTr="00D528C4">
        <w:tc>
          <w:tcPr>
            <w:tcW w:w="0" w:type="auto"/>
          </w:tcPr>
          <w:p w14:paraId="6AFB1F13" w14:textId="460DD2E2" w:rsidR="009128C9" w:rsidRPr="00D528C4" w:rsidRDefault="009128C9" w:rsidP="00E806FB">
            <w:pPr>
              <w:rPr>
                <w:rFonts w:ascii="Times New Roman" w:hAnsi="Times New Roman" w:cs="Times New Roman"/>
              </w:rPr>
            </w:pPr>
            <w:r w:rsidRPr="00D528C4">
              <w:rPr>
                <w:rFonts w:ascii="Times New Roman" w:hAnsi="Times New Roman" w:cs="Times New Roman"/>
              </w:rPr>
              <w:t>Strontium chloride</w:t>
            </w:r>
          </w:p>
        </w:tc>
        <w:tc>
          <w:tcPr>
            <w:tcW w:w="0" w:type="auto"/>
          </w:tcPr>
          <w:p w14:paraId="3EE4198F" w14:textId="0F2977F8" w:rsidR="009128C9" w:rsidRPr="00D528C4" w:rsidRDefault="009128C9" w:rsidP="00060DED">
            <w:pPr>
              <w:jc w:val="center"/>
              <w:rPr>
                <w:rFonts w:ascii="Times New Roman" w:hAnsi="Times New Roman" w:cs="Times New Roman"/>
              </w:rPr>
            </w:pPr>
            <w:r w:rsidRPr="00D528C4">
              <w:rPr>
                <w:rFonts w:ascii="Times New Roman" w:hAnsi="Times New Roman" w:cs="Times New Roman"/>
              </w:rPr>
              <w:t>Immersion</w:t>
            </w:r>
          </w:p>
        </w:tc>
        <w:tc>
          <w:tcPr>
            <w:tcW w:w="0" w:type="auto"/>
          </w:tcPr>
          <w:p w14:paraId="4FB54DF4" w14:textId="1B5FF67B" w:rsidR="009128C9" w:rsidRPr="00D528C4" w:rsidRDefault="009128C9" w:rsidP="00060DED">
            <w:pPr>
              <w:jc w:val="center"/>
              <w:rPr>
                <w:rFonts w:ascii="Times New Roman" w:hAnsi="Times New Roman" w:cs="Times New Roman"/>
              </w:rPr>
            </w:pPr>
            <w:r w:rsidRPr="00D528C4">
              <w:rPr>
                <w:rFonts w:ascii="Times New Roman" w:hAnsi="Times New Roman" w:cs="Times New Roman"/>
              </w:rPr>
              <w:t>Salmonids</w:t>
            </w:r>
          </w:p>
        </w:tc>
        <w:tc>
          <w:tcPr>
            <w:tcW w:w="0" w:type="auto"/>
          </w:tcPr>
          <w:p w14:paraId="797C5CA8" w14:textId="7C817F59" w:rsidR="009128C9" w:rsidRPr="00D528C4" w:rsidRDefault="009128C9" w:rsidP="00060DED">
            <w:pPr>
              <w:jc w:val="center"/>
              <w:rPr>
                <w:rFonts w:ascii="Times New Roman" w:hAnsi="Times New Roman" w:cs="Times New Roman"/>
              </w:rPr>
            </w:pPr>
            <w:r w:rsidRPr="00D528C4">
              <w:rPr>
                <w:rFonts w:ascii="Times New Roman" w:hAnsi="Times New Roman" w:cs="Times New Roman"/>
              </w:rPr>
              <w:t>Otolith Marking</w:t>
            </w:r>
          </w:p>
        </w:tc>
      </w:tr>
      <w:tr w:rsidR="00D528C4" w:rsidRPr="00095CCD" w14:paraId="777D4535" w14:textId="77777777" w:rsidTr="00D528C4">
        <w:tc>
          <w:tcPr>
            <w:tcW w:w="0" w:type="auto"/>
          </w:tcPr>
          <w:p w14:paraId="131F5144" w14:textId="11004089" w:rsidR="009128C9" w:rsidRPr="00D528C4" w:rsidRDefault="009128C9" w:rsidP="00E806FB">
            <w:pPr>
              <w:rPr>
                <w:rFonts w:ascii="Times New Roman" w:hAnsi="Times New Roman" w:cs="Times New Roman"/>
              </w:rPr>
            </w:pPr>
            <w:r w:rsidRPr="00D528C4">
              <w:rPr>
                <w:rFonts w:ascii="Times New Roman" w:hAnsi="Times New Roman" w:cs="Times New Roman"/>
              </w:rPr>
              <w:t>Progesterone</w:t>
            </w:r>
          </w:p>
        </w:tc>
        <w:tc>
          <w:tcPr>
            <w:tcW w:w="0" w:type="auto"/>
          </w:tcPr>
          <w:p w14:paraId="337D609D" w14:textId="1AADF010" w:rsidR="009128C9" w:rsidRPr="00D528C4" w:rsidRDefault="009128C9" w:rsidP="00E806FB">
            <w:pPr>
              <w:jc w:val="center"/>
              <w:rPr>
                <w:rFonts w:ascii="Times New Roman" w:hAnsi="Times New Roman" w:cs="Times New Roman"/>
              </w:rPr>
            </w:pPr>
            <w:r w:rsidRPr="00D528C4">
              <w:rPr>
                <w:rFonts w:ascii="Times New Roman" w:hAnsi="Times New Roman" w:cs="Times New Roman"/>
              </w:rPr>
              <w:t>CIDR</w:t>
            </w:r>
            <w:r w:rsidRPr="00D528C4">
              <w:rPr>
                <w:rFonts w:ascii="Times New Roman" w:hAnsi="Times New Roman" w:cs="Times New Roman"/>
                <w:vertAlign w:val="superscript"/>
              </w:rPr>
              <w:t>1</w:t>
            </w:r>
          </w:p>
        </w:tc>
        <w:tc>
          <w:tcPr>
            <w:tcW w:w="0" w:type="auto"/>
          </w:tcPr>
          <w:p w14:paraId="6BF048BD" w14:textId="51B87C5E" w:rsidR="009128C9" w:rsidRPr="00D528C4" w:rsidRDefault="009128C9" w:rsidP="00E806FB">
            <w:pPr>
              <w:jc w:val="center"/>
              <w:rPr>
                <w:rFonts w:ascii="Times New Roman" w:hAnsi="Times New Roman" w:cs="Times New Roman"/>
              </w:rPr>
            </w:pPr>
            <w:r w:rsidRPr="00D528C4">
              <w:rPr>
                <w:rFonts w:ascii="Times New Roman" w:hAnsi="Times New Roman" w:cs="Times New Roman"/>
              </w:rPr>
              <w:t>Goats</w:t>
            </w:r>
          </w:p>
        </w:tc>
        <w:tc>
          <w:tcPr>
            <w:tcW w:w="0" w:type="auto"/>
          </w:tcPr>
          <w:p w14:paraId="7C237577" w14:textId="10FE0A85" w:rsidR="009128C9" w:rsidRPr="00D528C4" w:rsidRDefault="009128C9" w:rsidP="00E806FB">
            <w:pPr>
              <w:jc w:val="center"/>
              <w:rPr>
                <w:rFonts w:ascii="Times New Roman" w:hAnsi="Times New Roman" w:cs="Times New Roman"/>
              </w:rPr>
            </w:pPr>
            <w:r w:rsidRPr="00D528C4">
              <w:rPr>
                <w:rFonts w:ascii="Times New Roman" w:hAnsi="Times New Roman" w:cs="Times New Roman"/>
              </w:rPr>
              <w:t>Estrus synchronization</w:t>
            </w:r>
          </w:p>
        </w:tc>
      </w:tr>
      <w:tr w:rsidR="00D528C4" w:rsidRPr="00095CCD" w14:paraId="59F607A4" w14:textId="77777777" w:rsidTr="00D528C4">
        <w:tc>
          <w:tcPr>
            <w:tcW w:w="0" w:type="auto"/>
          </w:tcPr>
          <w:p w14:paraId="03E26A8D" w14:textId="7090CD59" w:rsidR="009128C9" w:rsidRPr="00D528C4" w:rsidRDefault="009128C9" w:rsidP="00A33B13">
            <w:pPr>
              <w:rPr>
                <w:rFonts w:ascii="Times New Roman" w:hAnsi="Times New Roman" w:cs="Times New Roman"/>
              </w:rPr>
            </w:pPr>
            <w:r w:rsidRPr="00D528C4">
              <w:rPr>
                <w:rFonts w:ascii="Times New Roman" w:hAnsi="Times New Roman" w:cs="Times New Roman"/>
              </w:rPr>
              <w:t>Tulathromycin</w:t>
            </w:r>
          </w:p>
        </w:tc>
        <w:tc>
          <w:tcPr>
            <w:tcW w:w="0" w:type="auto"/>
          </w:tcPr>
          <w:p w14:paraId="201E5919" w14:textId="26101EB2" w:rsidR="009128C9" w:rsidRPr="00D528C4" w:rsidRDefault="009128C9" w:rsidP="00A33B13">
            <w:pPr>
              <w:jc w:val="center"/>
              <w:rPr>
                <w:rFonts w:ascii="Times New Roman" w:hAnsi="Times New Roman" w:cs="Times New Roman"/>
              </w:rPr>
            </w:pPr>
            <w:r w:rsidRPr="00D528C4">
              <w:rPr>
                <w:rFonts w:ascii="Times New Roman" w:hAnsi="Times New Roman" w:cs="Times New Roman"/>
              </w:rPr>
              <w:t>Injection</w:t>
            </w:r>
          </w:p>
        </w:tc>
        <w:tc>
          <w:tcPr>
            <w:tcW w:w="0" w:type="auto"/>
          </w:tcPr>
          <w:p w14:paraId="474CDE90" w14:textId="0858F5BB" w:rsidR="009128C9" w:rsidRPr="00D528C4" w:rsidRDefault="009128C9" w:rsidP="00A33B13">
            <w:pPr>
              <w:jc w:val="center"/>
              <w:rPr>
                <w:rFonts w:ascii="Times New Roman" w:hAnsi="Times New Roman" w:cs="Times New Roman"/>
              </w:rPr>
            </w:pPr>
            <w:r w:rsidRPr="00D528C4">
              <w:rPr>
                <w:rFonts w:ascii="Times New Roman" w:hAnsi="Times New Roman" w:cs="Times New Roman"/>
              </w:rPr>
              <w:t>Goats</w:t>
            </w:r>
          </w:p>
        </w:tc>
        <w:tc>
          <w:tcPr>
            <w:tcW w:w="0" w:type="auto"/>
          </w:tcPr>
          <w:p w14:paraId="6B0302EA" w14:textId="0C53946E" w:rsidR="009128C9" w:rsidRPr="00D528C4" w:rsidRDefault="009128C9" w:rsidP="00A33B13">
            <w:pPr>
              <w:jc w:val="center"/>
              <w:rPr>
                <w:rFonts w:ascii="Times New Roman" w:hAnsi="Times New Roman" w:cs="Times New Roman"/>
              </w:rPr>
            </w:pPr>
            <w:r w:rsidRPr="00D528C4">
              <w:rPr>
                <w:rFonts w:ascii="Times New Roman" w:hAnsi="Times New Roman" w:cs="Times New Roman"/>
              </w:rPr>
              <w:t>Respiratory Infection</w:t>
            </w:r>
          </w:p>
        </w:tc>
      </w:tr>
      <w:tr w:rsidR="00D528C4" w:rsidRPr="00095CCD" w14:paraId="01E43C51" w14:textId="77777777" w:rsidTr="00D528C4">
        <w:tc>
          <w:tcPr>
            <w:tcW w:w="0" w:type="auto"/>
          </w:tcPr>
          <w:p w14:paraId="30C83964" w14:textId="05DCB564" w:rsidR="009128C9" w:rsidRPr="00D528C4" w:rsidRDefault="009128C9" w:rsidP="008D0875">
            <w:pPr>
              <w:rPr>
                <w:rFonts w:ascii="Times New Roman" w:hAnsi="Times New Roman" w:cs="Times New Roman"/>
              </w:rPr>
            </w:pPr>
            <w:r w:rsidRPr="00D528C4">
              <w:rPr>
                <w:rFonts w:ascii="Times New Roman" w:hAnsi="Times New Roman" w:cs="Times New Roman"/>
              </w:rPr>
              <w:t>Chlortetracycline</w:t>
            </w:r>
          </w:p>
        </w:tc>
        <w:tc>
          <w:tcPr>
            <w:tcW w:w="0" w:type="auto"/>
          </w:tcPr>
          <w:p w14:paraId="0C4E6D6D" w14:textId="2537D03E" w:rsidR="009128C9" w:rsidRPr="00D528C4" w:rsidRDefault="009128C9" w:rsidP="008D0875">
            <w:pPr>
              <w:jc w:val="center"/>
              <w:rPr>
                <w:rFonts w:ascii="Times New Roman" w:hAnsi="Times New Roman" w:cs="Times New Roman"/>
              </w:rPr>
            </w:pPr>
            <w:r w:rsidRPr="00D528C4">
              <w:rPr>
                <w:rFonts w:ascii="Times New Roman" w:hAnsi="Times New Roman" w:cs="Times New Roman"/>
              </w:rPr>
              <w:t>Oral</w:t>
            </w:r>
          </w:p>
        </w:tc>
        <w:tc>
          <w:tcPr>
            <w:tcW w:w="0" w:type="auto"/>
          </w:tcPr>
          <w:p w14:paraId="37C895A3" w14:textId="6614EA74" w:rsidR="009128C9" w:rsidRPr="00D528C4" w:rsidRDefault="009128C9" w:rsidP="008D0875">
            <w:pPr>
              <w:jc w:val="center"/>
              <w:rPr>
                <w:rFonts w:ascii="Times New Roman" w:hAnsi="Times New Roman" w:cs="Times New Roman"/>
              </w:rPr>
            </w:pPr>
            <w:r w:rsidRPr="00D528C4">
              <w:rPr>
                <w:rFonts w:ascii="Times New Roman" w:hAnsi="Times New Roman" w:cs="Times New Roman"/>
              </w:rPr>
              <w:t>Lambs</w:t>
            </w:r>
          </w:p>
        </w:tc>
        <w:tc>
          <w:tcPr>
            <w:tcW w:w="0" w:type="auto"/>
          </w:tcPr>
          <w:p w14:paraId="25215A0B" w14:textId="77762312" w:rsidR="009128C9" w:rsidRPr="00D528C4" w:rsidRDefault="009128C9" w:rsidP="008D0875">
            <w:pPr>
              <w:jc w:val="center"/>
              <w:rPr>
                <w:rFonts w:ascii="Times New Roman" w:hAnsi="Times New Roman" w:cs="Times New Roman"/>
              </w:rPr>
            </w:pPr>
            <w:r w:rsidRPr="00D528C4">
              <w:rPr>
                <w:rFonts w:ascii="Times New Roman" w:hAnsi="Times New Roman" w:cs="Times New Roman"/>
              </w:rPr>
              <w:t>Respiratory Infection</w:t>
            </w:r>
          </w:p>
        </w:tc>
      </w:tr>
      <w:tr w:rsidR="00D528C4" w:rsidRPr="00095CCD" w14:paraId="30792361" w14:textId="77777777" w:rsidTr="00D528C4">
        <w:tc>
          <w:tcPr>
            <w:tcW w:w="0" w:type="auto"/>
          </w:tcPr>
          <w:p w14:paraId="6EF6B19D" w14:textId="6C6F0BBF" w:rsidR="009128C9" w:rsidRPr="00D528C4" w:rsidRDefault="009128C9" w:rsidP="008D0875">
            <w:pPr>
              <w:rPr>
                <w:rFonts w:ascii="Times New Roman" w:hAnsi="Times New Roman" w:cs="Times New Roman"/>
              </w:rPr>
            </w:pPr>
            <w:r w:rsidRPr="00D528C4">
              <w:rPr>
                <w:rFonts w:ascii="Times New Roman" w:hAnsi="Times New Roman" w:cs="Times New Roman"/>
              </w:rPr>
              <w:t>Ivermectin</w:t>
            </w:r>
          </w:p>
        </w:tc>
        <w:tc>
          <w:tcPr>
            <w:tcW w:w="0" w:type="auto"/>
          </w:tcPr>
          <w:p w14:paraId="0908D1EB" w14:textId="6BCEAAB5" w:rsidR="009128C9" w:rsidRPr="00D528C4" w:rsidRDefault="009128C9" w:rsidP="008D0875">
            <w:pPr>
              <w:jc w:val="center"/>
              <w:rPr>
                <w:rFonts w:ascii="Times New Roman" w:hAnsi="Times New Roman" w:cs="Times New Roman"/>
              </w:rPr>
            </w:pPr>
            <w:r w:rsidRPr="00D528C4">
              <w:rPr>
                <w:rFonts w:ascii="Times New Roman" w:hAnsi="Times New Roman" w:cs="Times New Roman"/>
              </w:rPr>
              <w:t>Medical Block</w:t>
            </w:r>
          </w:p>
        </w:tc>
        <w:tc>
          <w:tcPr>
            <w:tcW w:w="0" w:type="auto"/>
          </w:tcPr>
          <w:p w14:paraId="3269DDD8" w14:textId="4747C0AE" w:rsidR="009128C9" w:rsidRPr="00D528C4" w:rsidRDefault="009128C9" w:rsidP="008D0875">
            <w:pPr>
              <w:jc w:val="center"/>
              <w:rPr>
                <w:rFonts w:ascii="Times New Roman" w:hAnsi="Times New Roman" w:cs="Times New Roman"/>
              </w:rPr>
            </w:pPr>
            <w:r w:rsidRPr="00D528C4">
              <w:rPr>
                <w:rFonts w:ascii="Times New Roman" w:hAnsi="Times New Roman" w:cs="Times New Roman"/>
              </w:rPr>
              <w:t>Beef Cattle</w:t>
            </w:r>
          </w:p>
        </w:tc>
        <w:tc>
          <w:tcPr>
            <w:tcW w:w="0" w:type="auto"/>
          </w:tcPr>
          <w:p w14:paraId="22706729" w14:textId="75572E4C" w:rsidR="009128C9" w:rsidRPr="00D528C4" w:rsidRDefault="009128C9" w:rsidP="008D0875">
            <w:pPr>
              <w:jc w:val="center"/>
              <w:rPr>
                <w:rFonts w:ascii="Times New Roman" w:hAnsi="Times New Roman" w:cs="Times New Roman"/>
                <w:i/>
                <w:iCs/>
              </w:rPr>
            </w:pPr>
            <w:r w:rsidRPr="00D528C4">
              <w:rPr>
                <w:rFonts w:ascii="Times New Roman" w:hAnsi="Times New Roman" w:cs="Times New Roman"/>
                <w:i/>
                <w:iCs/>
              </w:rPr>
              <w:t xml:space="preserve">Rhipicephalus </w:t>
            </w:r>
            <w:proofErr w:type="spellStart"/>
            <w:r w:rsidRPr="00D528C4">
              <w:rPr>
                <w:rFonts w:ascii="Times New Roman" w:hAnsi="Times New Roman" w:cs="Times New Roman"/>
                <w:i/>
                <w:iCs/>
              </w:rPr>
              <w:t>microplus</w:t>
            </w:r>
            <w:proofErr w:type="spellEnd"/>
          </w:p>
        </w:tc>
      </w:tr>
      <w:tr w:rsidR="00D528C4" w:rsidRPr="00095CCD" w14:paraId="76BF856A" w14:textId="77777777" w:rsidTr="00D528C4">
        <w:tc>
          <w:tcPr>
            <w:tcW w:w="0" w:type="auto"/>
          </w:tcPr>
          <w:p w14:paraId="2557EAB0" w14:textId="1F3835EE" w:rsidR="009128C9" w:rsidRPr="00D528C4" w:rsidRDefault="009128C9" w:rsidP="008D0875">
            <w:pPr>
              <w:rPr>
                <w:rFonts w:ascii="Times New Roman" w:hAnsi="Times New Roman" w:cs="Times New Roman"/>
              </w:rPr>
            </w:pPr>
            <w:r w:rsidRPr="00D528C4">
              <w:rPr>
                <w:rFonts w:ascii="Times New Roman" w:hAnsi="Times New Roman" w:cs="Times New Roman"/>
              </w:rPr>
              <w:t>Vaccinal Immunity</w:t>
            </w:r>
          </w:p>
        </w:tc>
        <w:tc>
          <w:tcPr>
            <w:tcW w:w="0" w:type="auto"/>
          </w:tcPr>
          <w:p w14:paraId="38D325E6" w14:textId="68246E52" w:rsidR="009128C9" w:rsidRPr="00D528C4" w:rsidRDefault="009128C9" w:rsidP="008D0875">
            <w:pPr>
              <w:jc w:val="center"/>
              <w:rPr>
                <w:rFonts w:ascii="Times New Roman" w:hAnsi="Times New Roman" w:cs="Times New Roman"/>
              </w:rPr>
            </w:pPr>
            <w:r w:rsidRPr="00D528C4">
              <w:rPr>
                <w:rFonts w:ascii="Times New Roman" w:hAnsi="Times New Roman" w:cs="Times New Roman"/>
              </w:rPr>
              <w:t>Soluble vaccine</w:t>
            </w:r>
          </w:p>
        </w:tc>
        <w:tc>
          <w:tcPr>
            <w:tcW w:w="0" w:type="auto"/>
          </w:tcPr>
          <w:p w14:paraId="1761B8BB" w14:textId="2E71126E" w:rsidR="009128C9" w:rsidRPr="00D528C4" w:rsidRDefault="009128C9" w:rsidP="008D0875">
            <w:pPr>
              <w:jc w:val="center"/>
              <w:rPr>
                <w:rFonts w:ascii="Times New Roman" w:hAnsi="Times New Roman" w:cs="Times New Roman"/>
              </w:rPr>
            </w:pPr>
            <w:r w:rsidRPr="00D528C4">
              <w:rPr>
                <w:rFonts w:ascii="Times New Roman" w:hAnsi="Times New Roman" w:cs="Times New Roman"/>
              </w:rPr>
              <w:t>Sheep</w:t>
            </w:r>
          </w:p>
        </w:tc>
        <w:tc>
          <w:tcPr>
            <w:tcW w:w="0" w:type="auto"/>
          </w:tcPr>
          <w:p w14:paraId="1AF89F0D" w14:textId="44F932C2" w:rsidR="009128C9" w:rsidRPr="00D528C4" w:rsidRDefault="009128C9" w:rsidP="008D0875">
            <w:pPr>
              <w:jc w:val="center"/>
              <w:rPr>
                <w:rFonts w:ascii="Times New Roman" w:hAnsi="Times New Roman" w:cs="Times New Roman"/>
                <w:i/>
                <w:iCs/>
              </w:rPr>
            </w:pPr>
            <w:r w:rsidRPr="00D528C4">
              <w:rPr>
                <w:rFonts w:ascii="Times New Roman" w:hAnsi="Times New Roman" w:cs="Times New Roman"/>
                <w:i/>
                <w:iCs/>
              </w:rPr>
              <w:t>Haemonchus contortus</w:t>
            </w:r>
          </w:p>
        </w:tc>
      </w:tr>
      <w:tr w:rsidR="00D528C4" w:rsidRPr="00095CCD" w14:paraId="2F2583BF" w14:textId="77777777" w:rsidTr="00D528C4">
        <w:tc>
          <w:tcPr>
            <w:tcW w:w="0" w:type="auto"/>
          </w:tcPr>
          <w:p w14:paraId="09331BC6" w14:textId="301E8934" w:rsidR="009128C9" w:rsidRPr="00D528C4" w:rsidRDefault="009128C9" w:rsidP="008D0875">
            <w:pPr>
              <w:rPr>
                <w:rFonts w:ascii="Times New Roman" w:hAnsi="Times New Roman" w:cs="Times New Roman"/>
              </w:rPr>
            </w:pPr>
            <w:r w:rsidRPr="00D528C4">
              <w:rPr>
                <w:rFonts w:ascii="Times New Roman" w:hAnsi="Times New Roman" w:cs="Times New Roman"/>
              </w:rPr>
              <w:t>Vaccinal Immunity</w:t>
            </w:r>
          </w:p>
        </w:tc>
        <w:tc>
          <w:tcPr>
            <w:tcW w:w="0" w:type="auto"/>
          </w:tcPr>
          <w:p w14:paraId="08BD32E8" w14:textId="72E12BA3" w:rsidR="009128C9" w:rsidRPr="00D528C4" w:rsidRDefault="009128C9" w:rsidP="008D0875">
            <w:pPr>
              <w:jc w:val="center"/>
              <w:rPr>
                <w:rFonts w:ascii="Times New Roman" w:hAnsi="Times New Roman" w:cs="Times New Roman"/>
              </w:rPr>
            </w:pPr>
            <w:r w:rsidRPr="00D528C4">
              <w:rPr>
                <w:rFonts w:ascii="Times New Roman" w:hAnsi="Times New Roman" w:cs="Times New Roman"/>
              </w:rPr>
              <w:t>Soluble vaccine</w:t>
            </w:r>
          </w:p>
        </w:tc>
        <w:tc>
          <w:tcPr>
            <w:tcW w:w="0" w:type="auto"/>
          </w:tcPr>
          <w:p w14:paraId="5D5695B1" w14:textId="7B02A487" w:rsidR="009128C9" w:rsidRPr="00D528C4" w:rsidRDefault="009128C9" w:rsidP="008D0875">
            <w:pPr>
              <w:jc w:val="center"/>
              <w:rPr>
                <w:rFonts w:ascii="Times New Roman" w:hAnsi="Times New Roman" w:cs="Times New Roman"/>
              </w:rPr>
            </w:pPr>
            <w:r w:rsidRPr="00D528C4">
              <w:rPr>
                <w:rFonts w:ascii="Times New Roman" w:hAnsi="Times New Roman" w:cs="Times New Roman"/>
              </w:rPr>
              <w:t>Sheep</w:t>
            </w:r>
          </w:p>
        </w:tc>
        <w:tc>
          <w:tcPr>
            <w:tcW w:w="0" w:type="auto"/>
          </w:tcPr>
          <w:p w14:paraId="5DB995F8" w14:textId="0DD0497C" w:rsidR="009128C9" w:rsidRPr="00D528C4" w:rsidRDefault="009128C9" w:rsidP="008D0875">
            <w:pPr>
              <w:jc w:val="center"/>
              <w:rPr>
                <w:rFonts w:ascii="Times New Roman" w:hAnsi="Times New Roman" w:cs="Times New Roman"/>
                <w:i/>
                <w:iCs/>
              </w:rPr>
            </w:pPr>
            <w:r w:rsidRPr="00D528C4">
              <w:rPr>
                <w:rFonts w:ascii="Times New Roman" w:hAnsi="Times New Roman" w:cs="Times New Roman"/>
                <w:i/>
                <w:iCs/>
              </w:rPr>
              <w:t>Corynebacterium pseudotuberculosis</w:t>
            </w:r>
          </w:p>
        </w:tc>
      </w:tr>
      <w:tr w:rsidR="00D528C4" w:rsidRPr="00095CCD" w14:paraId="762AD3C0" w14:textId="77777777" w:rsidTr="00D528C4">
        <w:tc>
          <w:tcPr>
            <w:tcW w:w="0" w:type="auto"/>
          </w:tcPr>
          <w:p w14:paraId="20F7BB23" w14:textId="16091102" w:rsidR="003331DC" w:rsidRPr="00D528C4" w:rsidRDefault="003331DC" w:rsidP="003331DC">
            <w:pPr>
              <w:rPr>
                <w:rFonts w:ascii="Times New Roman" w:hAnsi="Times New Roman" w:cs="Times New Roman"/>
              </w:rPr>
            </w:pPr>
            <w:r w:rsidRPr="00D528C4">
              <w:rPr>
                <w:rFonts w:ascii="Times New Roman" w:hAnsi="Times New Roman" w:cs="Times New Roman"/>
              </w:rPr>
              <w:t>AQUI-S®20E</w:t>
            </w:r>
          </w:p>
        </w:tc>
        <w:tc>
          <w:tcPr>
            <w:tcW w:w="0" w:type="auto"/>
          </w:tcPr>
          <w:p w14:paraId="5AD2F6B2" w14:textId="1AFC603C" w:rsidR="003331DC" w:rsidRPr="00D528C4" w:rsidRDefault="003331DC" w:rsidP="003331DC">
            <w:pPr>
              <w:jc w:val="center"/>
              <w:rPr>
                <w:rFonts w:ascii="Times New Roman" w:hAnsi="Times New Roman" w:cs="Times New Roman"/>
              </w:rPr>
            </w:pPr>
            <w:r w:rsidRPr="00D528C4">
              <w:rPr>
                <w:rFonts w:ascii="Times New Roman" w:hAnsi="Times New Roman" w:cs="Times New Roman"/>
              </w:rPr>
              <w:t>Liquid</w:t>
            </w:r>
          </w:p>
        </w:tc>
        <w:tc>
          <w:tcPr>
            <w:tcW w:w="0" w:type="auto"/>
          </w:tcPr>
          <w:p w14:paraId="6A4EE15B" w14:textId="5F04A98C" w:rsidR="003331DC" w:rsidRPr="00D528C4" w:rsidRDefault="003331DC" w:rsidP="003331DC">
            <w:pPr>
              <w:jc w:val="center"/>
              <w:rPr>
                <w:rFonts w:ascii="Times New Roman" w:hAnsi="Times New Roman" w:cs="Times New Roman"/>
              </w:rPr>
            </w:pPr>
            <w:r w:rsidRPr="00D528C4">
              <w:rPr>
                <w:rFonts w:ascii="Times New Roman" w:hAnsi="Times New Roman" w:cs="Times New Roman"/>
              </w:rPr>
              <w:t xml:space="preserve">Striped bass </w:t>
            </w:r>
          </w:p>
        </w:tc>
        <w:tc>
          <w:tcPr>
            <w:tcW w:w="0" w:type="auto"/>
          </w:tcPr>
          <w:p w14:paraId="6F283FF7" w14:textId="50E95233" w:rsidR="003331DC" w:rsidRPr="00D528C4" w:rsidRDefault="003331DC" w:rsidP="003331DC">
            <w:pPr>
              <w:jc w:val="center"/>
              <w:rPr>
                <w:rFonts w:ascii="Times New Roman" w:hAnsi="Times New Roman" w:cs="Times New Roman"/>
              </w:rPr>
            </w:pPr>
            <w:r w:rsidRPr="00D528C4">
              <w:rPr>
                <w:rFonts w:ascii="Times New Roman" w:hAnsi="Times New Roman" w:cs="Times New Roman"/>
              </w:rPr>
              <w:t>Sedative</w:t>
            </w:r>
          </w:p>
        </w:tc>
      </w:tr>
      <w:tr w:rsidR="00D528C4" w:rsidRPr="00095CCD" w14:paraId="0DCD4389" w14:textId="77777777" w:rsidTr="00D528C4">
        <w:tc>
          <w:tcPr>
            <w:tcW w:w="0" w:type="auto"/>
          </w:tcPr>
          <w:p w14:paraId="640A51AD" w14:textId="22034F69" w:rsidR="003331DC" w:rsidRPr="00D528C4" w:rsidRDefault="003331DC" w:rsidP="003331DC">
            <w:pPr>
              <w:rPr>
                <w:rFonts w:ascii="Times New Roman" w:hAnsi="Times New Roman" w:cs="Times New Roman"/>
              </w:rPr>
            </w:pPr>
            <w:r w:rsidRPr="00D528C4">
              <w:rPr>
                <w:rFonts w:ascii="Times New Roman" w:hAnsi="Times New Roman" w:cs="Times New Roman"/>
              </w:rPr>
              <w:t>AQUI-S®20E</w:t>
            </w:r>
          </w:p>
        </w:tc>
        <w:tc>
          <w:tcPr>
            <w:tcW w:w="0" w:type="auto"/>
          </w:tcPr>
          <w:p w14:paraId="7AEC4D75" w14:textId="740A43A9" w:rsidR="003331DC" w:rsidRPr="00D528C4" w:rsidRDefault="003331DC" w:rsidP="003331DC">
            <w:pPr>
              <w:jc w:val="center"/>
              <w:rPr>
                <w:rFonts w:ascii="Times New Roman" w:hAnsi="Times New Roman" w:cs="Times New Roman"/>
              </w:rPr>
            </w:pPr>
            <w:r w:rsidRPr="00D528C4">
              <w:rPr>
                <w:rFonts w:ascii="Times New Roman" w:hAnsi="Times New Roman" w:cs="Times New Roman"/>
              </w:rPr>
              <w:t>Liquid</w:t>
            </w:r>
          </w:p>
        </w:tc>
        <w:tc>
          <w:tcPr>
            <w:tcW w:w="0" w:type="auto"/>
          </w:tcPr>
          <w:p w14:paraId="56648C1F" w14:textId="65537775" w:rsidR="003331DC" w:rsidRPr="00D528C4" w:rsidRDefault="00F827B0" w:rsidP="003331DC">
            <w:pPr>
              <w:jc w:val="center"/>
              <w:rPr>
                <w:rFonts w:ascii="Times New Roman" w:hAnsi="Times New Roman" w:cs="Times New Roman"/>
              </w:rPr>
            </w:pPr>
            <w:r w:rsidRPr="00D528C4">
              <w:rPr>
                <w:rFonts w:ascii="Times New Roman" w:hAnsi="Times New Roman" w:cs="Times New Roman"/>
              </w:rPr>
              <w:t>Pompano</w:t>
            </w:r>
          </w:p>
        </w:tc>
        <w:tc>
          <w:tcPr>
            <w:tcW w:w="0" w:type="auto"/>
          </w:tcPr>
          <w:p w14:paraId="6A605C99" w14:textId="48D2A667" w:rsidR="003331DC" w:rsidRPr="00D528C4" w:rsidRDefault="003331DC" w:rsidP="003331DC">
            <w:pPr>
              <w:jc w:val="center"/>
              <w:rPr>
                <w:rFonts w:ascii="Times New Roman" w:hAnsi="Times New Roman" w:cs="Times New Roman"/>
              </w:rPr>
            </w:pPr>
            <w:r w:rsidRPr="00D528C4">
              <w:rPr>
                <w:rFonts w:ascii="Times New Roman" w:hAnsi="Times New Roman" w:cs="Times New Roman"/>
              </w:rPr>
              <w:t>Sedative</w:t>
            </w:r>
          </w:p>
        </w:tc>
      </w:tr>
      <w:tr w:rsidR="00D528C4" w:rsidRPr="00095CCD" w14:paraId="1420550C" w14:textId="77777777" w:rsidTr="00D528C4">
        <w:tc>
          <w:tcPr>
            <w:tcW w:w="0" w:type="auto"/>
          </w:tcPr>
          <w:p w14:paraId="1DC278CC" w14:textId="00E22FE7" w:rsidR="009128C9" w:rsidRPr="00D528C4" w:rsidRDefault="009128C9" w:rsidP="008D0875">
            <w:pPr>
              <w:rPr>
                <w:rFonts w:ascii="Times New Roman" w:hAnsi="Times New Roman" w:cs="Times New Roman"/>
              </w:rPr>
            </w:pPr>
            <w:r w:rsidRPr="00D528C4">
              <w:rPr>
                <w:rFonts w:ascii="Times New Roman" w:hAnsi="Times New Roman" w:cs="Times New Roman"/>
              </w:rPr>
              <w:lastRenderedPageBreak/>
              <w:t>Lasalocid</w:t>
            </w:r>
          </w:p>
        </w:tc>
        <w:tc>
          <w:tcPr>
            <w:tcW w:w="0" w:type="auto"/>
          </w:tcPr>
          <w:p w14:paraId="48A0E30E" w14:textId="435E3C67" w:rsidR="009128C9" w:rsidRPr="00D528C4" w:rsidRDefault="009128C9" w:rsidP="008D0875">
            <w:pPr>
              <w:jc w:val="center"/>
              <w:rPr>
                <w:rFonts w:ascii="Times New Roman" w:hAnsi="Times New Roman" w:cs="Times New Roman"/>
              </w:rPr>
            </w:pPr>
            <w:r w:rsidRPr="00D528C4">
              <w:rPr>
                <w:rFonts w:ascii="Times New Roman" w:hAnsi="Times New Roman" w:cs="Times New Roman"/>
              </w:rPr>
              <w:t>Premix</w:t>
            </w:r>
          </w:p>
        </w:tc>
        <w:tc>
          <w:tcPr>
            <w:tcW w:w="0" w:type="auto"/>
          </w:tcPr>
          <w:p w14:paraId="5F336BB9" w14:textId="10F76D20" w:rsidR="009128C9" w:rsidRPr="00D528C4" w:rsidRDefault="009128C9" w:rsidP="008D0875">
            <w:pPr>
              <w:jc w:val="center"/>
              <w:rPr>
                <w:rFonts w:ascii="Times New Roman" w:hAnsi="Times New Roman" w:cs="Times New Roman"/>
              </w:rPr>
            </w:pPr>
            <w:r w:rsidRPr="00D528C4">
              <w:rPr>
                <w:rFonts w:ascii="Times New Roman" w:hAnsi="Times New Roman" w:cs="Times New Roman"/>
              </w:rPr>
              <w:t>Pheasants</w:t>
            </w:r>
          </w:p>
        </w:tc>
        <w:tc>
          <w:tcPr>
            <w:tcW w:w="0" w:type="auto"/>
          </w:tcPr>
          <w:p w14:paraId="52B877AA" w14:textId="19003885" w:rsidR="009128C9" w:rsidRPr="00D528C4" w:rsidRDefault="009128C9" w:rsidP="008D0875">
            <w:pPr>
              <w:jc w:val="center"/>
              <w:rPr>
                <w:rFonts w:ascii="Times New Roman" w:hAnsi="Times New Roman" w:cs="Times New Roman"/>
              </w:rPr>
            </w:pPr>
            <w:r w:rsidRPr="00D528C4">
              <w:rPr>
                <w:rFonts w:ascii="Times New Roman" w:hAnsi="Times New Roman" w:cs="Times New Roman"/>
              </w:rPr>
              <w:t>Coccidiosis</w:t>
            </w:r>
          </w:p>
        </w:tc>
      </w:tr>
      <w:tr w:rsidR="00D528C4" w:rsidRPr="00095CCD" w14:paraId="77B28F52" w14:textId="77777777" w:rsidTr="00D528C4">
        <w:tc>
          <w:tcPr>
            <w:tcW w:w="0" w:type="auto"/>
          </w:tcPr>
          <w:p w14:paraId="273B6C35" w14:textId="5572E861" w:rsidR="009128C9" w:rsidRPr="00D528C4" w:rsidRDefault="009128C9" w:rsidP="008D0875">
            <w:pPr>
              <w:rPr>
                <w:rFonts w:ascii="Times New Roman" w:hAnsi="Times New Roman" w:cs="Times New Roman"/>
              </w:rPr>
            </w:pPr>
            <w:r w:rsidRPr="00D528C4">
              <w:rPr>
                <w:rFonts w:ascii="Times New Roman" w:hAnsi="Times New Roman" w:cs="Times New Roman"/>
              </w:rPr>
              <w:t>Tulathromycin</w:t>
            </w:r>
          </w:p>
        </w:tc>
        <w:tc>
          <w:tcPr>
            <w:tcW w:w="0" w:type="auto"/>
          </w:tcPr>
          <w:p w14:paraId="2DB2FC9B" w14:textId="5247EADC" w:rsidR="009128C9" w:rsidRPr="00D528C4" w:rsidRDefault="009128C9" w:rsidP="008D0875">
            <w:pPr>
              <w:jc w:val="center"/>
              <w:rPr>
                <w:rFonts w:ascii="Times New Roman" w:hAnsi="Times New Roman" w:cs="Times New Roman"/>
              </w:rPr>
            </w:pPr>
            <w:r w:rsidRPr="00D528C4">
              <w:rPr>
                <w:rFonts w:ascii="Times New Roman" w:hAnsi="Times New Roman" w:cs="Times New Roman"/>
              </w:rPr>
              <w:t>Injection</w:t>
            </w:r>
          </w:p>
        </w:tc>
        <w:tc>
          <w:tcPr>
            <w:tcW w:w="0" w:type="auto"/>
          </w:tcPr>
          <w:p w14:paraId="4691877F" w14:textId="2C09E91E" w:rsidR="009128C9" w:rsidRPr="00D528C4" w:rsidRDefault="009128C9" w:rsidP="008D0875">
            <w:pPr>
              <w:jc w:val="center"/>
              <w:rPr>
                <w:rFonts w:ascii="Times New Roman" w:hAnsi="Times New Roman" w:cs="Times New Roman"/>
              </w:rPr>
            </w:pPr>
            <w:r w:rsidRPr="00D528C4">
              <w:rPr>
                <w:rFonts w:ascii="Times New Roman" w:hAnsi="Times New Roman" w:cs="Times New Roman"/>
              </w:rPr>
              <w:t>Sheep</w:t>
            </w:r>
          </w:p>
        </w:tc>
        <w:tc>
          <w:tcPr>
            <w:tcW w:w="0" w:type="auto"/>
          </w:tcPr>
          <w:p w14:paraId="5807EE06" w14:textId="1340ECA8" w:rsidR="009128C9" w:rsidRPr="00D528C4" w:rsidRDefault="009128C9" w:rsidP="008D0875">
            <w:pPr>
              <w:jc w:val="center"/>
              <w:rPr>
                <w:rFonts w:ascii="Times New Roman" w:hAnsi="Times New Roman" w:cs="Times New Roman"/>
              </w:rPr>
            </w:pPr>
            <w:r w:rsidRPr="00D528C4">
              <w:rPr>
                <w:rFonts w:ascii="Times New Roman" w:hAnsi="Times New Roman" w:cs="Times New Roman"/>
              </w:rPr>
              <w:t>Respiratory Infection</w:t>
            </w:r>
          </w:p>
        </w:tc>
      </w:tr>
      <w:tr w:rsidR="00D528C4" w:rsidRPr="00095CCD" w14:paraId="41709407" w14:textId="77777777" w:rsidTr="00D528C4">
        <w:tc>
          <w:tcPr>
            <w:tcW w:w="0" w:type="auto"/>
            <w:tcBorders>
              <w:bottom w:val="single" w:sz="4" w:space="0" w:color="auto"/>
            </w:tcBorders>
          </w:tcPr>
          <w:p w14:paraId="303D9937" w14:textId="133C951C" w:rsidR="009128C9" w:rsidRPr="00D528C4" w:rsidRDefault="009128C9" w:rsidP="008D0875">
            <w:pPr>
              <w:rPr>
                <w:rFonts w:ascii="Times New Roman" w:hAnsi="Times New Roman" w:cs="Times New Roman"/>
              </w:rPr>
            </w:pPr>
            <w:r w:rsidRPr="00D528C4">
              <w:rPr>
                <w:rFonts w:ascii="Times New Roman" w:hAnsi="Times New Roman" w:cs="Times New Roman"/>
              </w:rPr>
              <w:t>Erythromycin</w:t>
            </w:r>
          </w:p>
        </w:tc>
        <w:tc>
          <w:tcPr>
            <w:tcW w:w="0" w:type="auto"/>
            <w:tcBorders>
              <w:bottom w:val="single" w:sz="4" w:space="0" w:color="auto"/>
            </w:tcBorders>
          </w:tcPr>
          <w:p w14:paraId="462BAEB1" w14:textId="7A38EFB7" w:rsidR="009128C9" w:rsidRPr="00D528C4" w:rsidRDefault="009128C9" w:rsidP="008D0875">
            <w:pPr>
              <w:jc w:val="center"/>
              <w:rPr>
                <w:rFonts w:ascii="Times New Roman" w:hAnsi="Times New Roman" w:cs="Times New Roman"/>
              </w:rPr>
            </w:pPr>
            <w:r w:rsidRPr="00D528C4">
              <w:rPr>
                <w:rFonts w:ascii="Times New Roman" w:hAnsi="Times New Roman" w:cs="Times New Roman"/>
              </w:rPr>
              <w:t>Premix</w:t>
            </w:r>
          </w:p>
        </w:tc>
        <w:tc>
          <w:tcPr>
            <w:tcW w:w="0" w:type="auto"/>
            <w:tcBorders>
              <w:bottom w:val="single" w:sz="4" w:space="0" w:color="auto"/>
            </w:tcBorders>
          </w:tcPr>
          <w:p w14:paraId="14D9A2BB" w14:textId="755140F4" w:rsidR="009128C9" w:rsidRPr="00D528C4" w:rsidRDefault="009128C9" w:rsidP="008D0875">
            <w:pPr>
              <w:jc w:val="center"/>
              <w:rPr>
                <w:rFonts w:ascii="Times New Roman" w:hAnsi="Times New Roman" w:cs="Times New Roman"/>
              </w:rPr>
            </w:pPr>
            <w:r w:rsidRPr="00D528C4">
              <w:rPr>
                <w:rFonts w:ascii="Times New Roman" w:hAnsi="Times New Roman" w:cs="Times New Roman"/>
              </w:rPr>
              <w:t>Salmonids</w:t>
            </w:r>
          </w:p>
        </w:tc>
        <w:tc>
          <w:tcPr>
            <w:tcW w:w="0" w:type="auto"/>
            <w:tcBorders>
              <w:bottom w:val="single" w:sz="4" w:space="0" w:color="auto"/>
            </w:tcBorders>
          </w:tcPr>
          <w:p w14:paraId="7C449F05" w14:textId="4935CC0C" w:rsidR="009128C9" w:rsidRPr="00D528C4" w:rsidRDefault="009128C9" w:rsidP="008D0875">
            <w:pPr>
              <w:jc w:val="center"/>
              <w:rPr>
                <w:rFonts w:ascii="Times New Roman" w:hAnsi="Times New Roman" w:cs="Times New Roman"/>
              </w:rPr>
            </w:pPr>
            <w:r w:rsidRPr="00D528C4">
              <w:rPr>
                <w:rFonts w:ascii="Times New Roman" w:hAnsi="Times New Roman" w:cs="Times New Roman"/>
              </w:rPr>
              <w:t>Bacterial Kidney Disease</w:t>
            </w:r>
          </w:p>
        </w:tc>
      </w:tr>
    </w:tbl>
    <w:p w14:paraId="49590395" w14:textId="783C9340" w:rsidR="00E806FB" w:rsidRPr="00095CCD" w:rsidRDefault="009128C9" w:rsidP="00E806FB">
      <w:pPr>
        <w:pStyle w:val="ListParagraph"/>
        <w:numPr>
          <w:ilvl w:val="0"/>
          <w:numId w:val="5"/>
        </w:numPr>
        <w:spacing w:after="0" w:line="240" w:lineRule="auto"/>
        <w:ind w:left="90" w:hanging="180"/>
        <w:rPr>
          <w:rFonts w:ascii="Times New Roman" w:hAnsi="Times New Roman" w:cs="Times New Roman"/>
          <w:sz w:val="24"/>
          <w:szCs w:val="24"/>
        </w:rPr>
      </w:pPr>
      <w:r w:rsidRPr="00095CCD">
        <w:rPr>
          <w:rFonts w:ascii="Times New Roman" w:hAnsi="Times New Roman" w:cs="Times New Roman"/>
        </w:rPr>
        <w:t>Controlled internal drug release</w:t>
      </w:r>
    </w:p>
    <w:p w14:paraId="3BD3A9A7" w14:textId="6C06F0F8" w:rsidR="00060DED" w:rsidRPr="00095CCD" w:rsidRDefault="00060DED" w:rsidP="00E806FB">
      <w:pPr>
        <w:ind w:left="-90"/>
        <w:rPr>
          <w:rFonts w:ascii="Times New Roman" w:hAnsi="Times New Roman" w:cs="Times New Roman"/>
        </w:rPr>
      </w:pPr>
    </w:p>
    <w:p w14:paraId="3B457468" w14:textId="236055A0" w:rsidR="00386B0D" w:rsidRPr="006D6372" w:rsidRDefault="00462C91" w:rsidP="009D7E75">
      <w:pPr>
        <w:pStyle w:val="ListParagraph"/>
        <w:numPr>
          <w:ilvl w:val="0"/>
          <w:numId w:val="3"/>
        </w:numPr>
        <w:tabs>
          <w:tab w:val="left" w:pos="270"/>
        </w:tabs>
        <w:spacing w:after="0" w:line="240" w:lineRule="auto"/>
        <w:ind w:left="547" w:hanging="547"/>
        <w:jc w:val="both"/>
        <w:rPr>
          <w:rFonts w:ascii="Times New Roman" w:hAnsi="Times New Roman" w:cs="Times New Roman"/>
          <w:bCs/>
          <w:sz w:val="24"/>
          <w:szCs w:val="24"/>
          <w:u w:val="single"/>
        </w:rPr>
      </w:pPr>
      <w:r w:rsidRPr="006D6372">
        <w:rPr>
          <w:rFonts w:ascii="Times New Roman" w:hAnsi="Times New Roman" w:cs="Times New Roman"/>
          <w:bCs/>
          <w:sz w:val="24"/>
          <w:szCs w:val="24"/>
          <w:u w:val="single"/>
        </w:rPr>
        <w:t>Fenbendazole in quail</w:t>
      </w:r>
      <w:r w:rsidR="006D6372" w:rsidRPr="006D6372">
        <w:rPr>
          <w:rFonts w:ascii="Times New Roman" w:hAnsi="Times New Roman" w:cs="Times New Roman"/>
          <w:bCs/>
          <w:sz w:val="24"/>
          <w:szCs w:val="24"/>
          <w:u w:val="single"/>
        </w:rPr>
        <w:t>:</w:t>
      </w:r>
    </w:p>
    <w:p w14:paraId="0D9617F9" w14:textId="29EBB217" w:rsidR="00386B0D" w:rsidRPr="00820366" w:rsidRDefault="00462C91" w:rsidP="009D7E75">
      <w:pPr>
        <w:ind w:firstLine="450"/>
        <w:jc w:val="both"/>
        <w:rPr>
          <w:rFonts w:ascii="Times New Roman" w:hAnsi="Times New Roman" w:cs="Times New Roman"/>
          <w:b/>
        </w:rPr>
      </w:pPr>
      <w:r w:rsidRPr="00820366">
        <w:rPr>
          <w:rFonts w:ascii="Times New Roman" w:hAnsi="Times New Roman" w:cs="Times New Roman"/>
        </w:rPr>
        <w:t xml:space="preserve">MUADP continues collaboration with our research partners, Dr. Ron Kendall of Texas Tech University and Merck Animal Health, to generate the data necessary to obtain FDA approval of fenbendazole-medicated feed for the treatment of nematodes in quail.  This project has impact for both wild quail and farmed quail. Wild quail populations have declined by more than 85% in the last five decades. While many causes for the decline have been proposed, this project addresses the potential role of parasitism. Field studies conducted by Dr. Kendall have shown that fenbendazole is effective against common parasites in quail. </w:t>
      </w:r>
    </w:p>
    <w:p w14:paraId="6382D1A5" w14:textId="62E29747" w:rsidR="00462C91" w:rsidRPr="006C3D59" w:rsidRDefault="00462C91" w:rsidP="009D7E75">
      <w:pPr>
        <w:ind w:firstLine="450"/>
        <w:jc w:val="both"/>
        <w:rPr>
          <w:rFonts w:ascii="Times New Roman" w:hAnsi="Times New Roman" w:cs="Times New Roman"/>
          <w:b/>
        </w:rPr>
      </w:pPr>
      <w:r w:rsidRPr="00820366">
        <w:rPr>
          <w:rFonts w:ascii="Times New Roman" w:hAnsi="Times New Roman" w:cs="Times New Roman"/>
        </w:rPr>
        <w:t xml:space="preserve">The ongoing research will also support FDA approval for the use of fenbendazole in farmed </w:t>
      </w:r>
      <w:r w:rsidRPr="006C3D59">
        <w:rPr>
          <w:rFonts w:ascii="Times New Roman" w:hAnsi="Times New Roman" w:cs="Times New Roman"/>
        </w:rPr>
        <w:t xml:space="preserve">quail. There are currently no anthelmintics approved for use in quail. Successful completion of this project will provide access to a class of therapeutic drugs previously unavailable to quail farmers.  </w:t>
      </w:r>
    </w:p>
    <w:p w14:paraId="2CB18ABF" w14:textId="196A20E7" w:rsidR="00462C91" w:rsidRPr="006C3D59" w:rsidRDefault="00462C91" w:rsidP="009D7E75">
      <w:pPr>
        <w:pStyle w:val="ListParagraph"/>
        <w:numPr>
          <w:ilvl w:val="1"/>
          <w:numId w:val="8"/>
        </w:numPr>
        <w:spacing w:before="120" w:after="0" w:line="240" w:lineRule="auto"/>
        <w:jc w:val="both"/>
        <w:rPr>
          <w:rFonts w:ascii="Times New Roman" w:hAnsi="Times New Roman" w:cs="Times New Roman"/>
          <w:sz w:val="24"/>
          <w:szCs w:val="24"/>
        </w:rPr>
      </w:pPr>
      <w:r w:rsidRPr="006C3D59">
        <w:rPr>
          <w:rFonts w:ascii="Times New Roman" w:hAnsi="Times New Roman" w:cs="Times New Roman"/>
          <w:sz w:val="24"/>
          <w:szCs w:val="24"/>
          <w:u w:val="single"/>
        </w:rPr>
        <w:t>Environmental</w:t>
      </w:r>
      <w:r w:rsidRPr="006C3D59">
        <w:rPr>
          <w:rFonts w:ascii="Times New Roman" w:hAnsi="Times New Roman" w:cs="Times New Roman"/>
          <w:sz w:val="24"/>
          <w:szCs w:val="24"/>
        </w:rPr>
        <w:t>:</w:t>
      </w:r>
    </w:p>
    <w:p w14:paraId="775C05A4" w14:textId="77777777" w:rsidR="006C3D59" w:rsidRPr="006C3D59" w:rsidRDefault="00462C91" w:rsidP="009D7E75">
      <w:pPr>
        <w:pStyle w:val="ListParagraph"/>
        <w:spacing w:after="0" w:line="240" w:lineRule="auto"/>
        <w:ind w:left="0" w:firstLine="360"/>
        <w:contextualSpacing w:val="0"/>
        <w:jc w:val="both"/>
        <w:rPr>
          <w:rFonts w:ascii="Times New Roman" w:hAnsi="Times New Roman" w:cs="Times New Roman"/>
          <w:sz w:val="24"/>
          <w:szCs w:val="24"/>
        </w:rPr>
      </w:pPr>
      <w:r w:rsidRPr="006C3D59">
        <w:rPr>
          <w:rFonts w:ascii="Times New Roman" w:hAnsi="Times New Roman" w:cs="Times New Roman"/>
          <w:sz w:val="24"/>
          <w:szCs w:val="24"/>
        </w:rPr>
        <w:t>MUADP worked with research partner, Merck Animal Health, to justify a claim of categorical exclusion from the requirement to conduct an Environmental Assessment for the use of fenbendazole in quail.  The claim was denied by CVM, with a request for additional information.  MUADP and Merck are working to address CVM’s requests</w:t>
      </w:r>
      <w:r w:rsidR="00820366" w:rsidRPr="006C3D59">
        <w:rPr>
          <w:rFonts w:ascii="Times New Roman" w:hAnsi="Times New Roman" w:cs="Times New Roman"/>
          <w:sz w:val="24"/>
          <w:szCs w:val="24"/>
        </w:rPr>
        <w:t>.</w:t>
      </w:r>
    </w:p>
    <w:p w14:paraId="26CF1EE9" w14:textId="77777777" w:rsidR="006C3D59" w:rsidRPr="00060DED" w:rsidRDefault="006C3D59" w:rsidP="009D7E75">
      <w:pPr>
        <w:spacing w:before="120"/>
        <w:jc w:val="both"/>
        <w:rPr>
          <w:rFonts w:ascii="Times New Roman" w:hAnsi="Times New Roman" w:cs="Times New Roman"/>
        </w:rPr>
      </w:pPr>
      <w:r w:rsidRPr="00060DED">
        <w:rPr>
          <w:rFonts w:ascii="Times New Roman" w:hAnsi="Times New Roman" w:cs="Times New Roman"/>
          <w:u w:val="single"/>
        </w:rPr>
        <w:t xml:space="preserve">1.2 </w:t>
      </w:r>
      <w:r w:rsidR="00462C91" w:rsidRPr="00060DED">
        <w:rPr>
          <w:rFonts w:ascii="Times New Roman" w:hAnsi="Times New Roman" w:cs="Times New Roman"/>
          <w:u w:val="single"/>
        </w:rPr>
        <w:t>Human Food Safety</w:t>
      </w:r>
      <w:r w:rsidR="00462C91" w:rsidRPr="00060DED">
        <w:rPr>
          <w:rFonts w:ascii="Times New Roman" w:hAnsi="Times New Roman" w:cs="Times New Roman"/>
        </w:rPr>
        <w:t>:</w:t>
      </w:r>
    </w:p>
    <w:p w14:paraId="13E34F2D" w14:textId="67F7C1B5" w:rsidR="00820366" w:rsidRPr="00060DED" w:rsidRDefault="00462C91" w:rsidP="009D7E75">
      <w:pPr>
        <w:ind w:firstLine="450"/>
        <w:jc w:val="both"/>
        <w:rPr>
          <w:rFonts w:ascii="Times New Roman" w:hAnsi="Times New Roman" w:cs="Times New Roman"/>
        </w:rPr>
      </w:pPr>
      <w:r w:rsidRPr="00060DED">
        <w:rPr>
          <w:rFonts w:ascii="Times New Roman" w:hAnsi="Times New Roman" w:cs="Times New Roman"/>
        </w:rPr>
        <w:t xml:space="preserve">In April 2019, MUADP, with research partner Dr. Ron Kendall of Texas Tech University, submitted a revised protocol for a tissue residue depletion study for fenbendazole in quail.  CVM requested additional revisions to the protocol. </w:t>
      </w:r>
    </w:p>
    <w:p w14:paraId="36624C96" w14:textId="1486FAEA" w:rsidR="00462C91" w:rsidRPr="00060DED" w:rsidRDefault="00462C91" w:rsidP="009D7E75">
      <w:pPr>
        <w:jc w:val="both"/>
        <w:rPr>
          <w:rFonts w:ascii="Times New Roman" w:hAnsi="Times New Roman" w:cs="Times New Roman"/>
        </w:rPr>
      </w:pPr>
      <w:r w:rsidRPr="00060DED">
        <w:rPr>
          <w:rFonts w:ascii="Times New Roman" w:hAnsi="Times New Roman" w:cs="Times New Roman"/>
        </w:rPr>
        <w:t>In August 2019, MUADP submitted for CVM review the revised Method SOP and Validation Report.  CVM determined that the tissue method for fenbendazole in quail was adequately validated and acceptable for use in a residue depletion study.</w:t>
      </w:r>
    </w:p>
    <w:p w14:paraId="7420E564" w14:textId="708C6A39" w:rsidR="00462C91" w:rsidRPr="00060DED" w:rsidRDefault="00462C91" w:rsidP="009D7E75">
      <w:pPr>
        <w:pStyle w:val="ListParagraph"/>
        <w:numPr>
          <w:ilvl w:val="1"/>
          <w:numId w:val="9"/>
        </w:numPr>
        <w:spacing w:before="120" w:after="0" w:line="240" w:lineRule="auto"/>
        <w:jc w:val="both"/>
        <w:rPr>
          <w:rFonts w:ascii="Times New Roman" w:hAnsi="Times New Roman" w:cs="Times New Roman"/>
          <w:b/>
          <w:sz w:val="24"/>
          <w:szCs w:val="24"/>
        </w:rPr>
      </w:pPr>
      <w:r w:rsidRPr="00060DED">
        <w:rPr>
          <w:rFonts w:ascii="Times New Roman" w:hAnsi="Times New Roman" w:cs="Times New Roman"/>
          <w:sz w:val="24"/>
          <w:szCs w:val="24"/>
          <w:u w:val="single"/>
        </w:rPr>
        <w:t>Target Animal Safety and Effectiveness</w:t>
      </w:r>
      <w:r w:rsidRPr="00060DED">
        <w:rPr>
          <w:rFonts w:ascii="Times New Roman" w:hAnsi="Times New Roman" w:cs="Times New Roman"/>
          <w:b/>
          <w:sz w:val="24"/>
          <w:szCs w:val="24"/>
        </w:rPr>
        <w:t>:</w:t>
      </w:r>
    </w:p>
    <w:p w14:paraId="69629C93" w14:textId="052A60A2" w:rsidR="00462C91" w:rsidRPr="00060DED" w:rsidRDefault="00462C91" w:rsidP="009D7E75">
      <w:pPr>
        <w:pStyle w:val="ListParagraph"/>
        <w:spacing w:after="0" w:line="240" w:lineRule="auto"/>
        <w:ind w:left="0" w:firstLine="360"/>
        <w:jc w:val="both"/>
        <w:rPr>
          <w:rFonts w:ascii="Times New Roman" w:hAnsi="Times New Roman" w:cs="Times New Roman"/>
          <w:sz w:val="24"/>
          <w:szCs w:val="24"/>
        </w:rPr>
      </w:pPr>
      <w:r w:rsidRPr="00060DED">
        <w:rPr>
          <w:rFonts w:ascii="Times New Roman" w:hAnsi="Times New Roman" w:cs="Times New Roman"/>
          <w:sz w:val="24"/>
          <w:szCs w:val="24"/>
        </w:rPr>
        <w:t>Dr. Ron Kendall has conducted both a Target Animal Safety study and an Effectiveness study for the use of fenbendazole in quail.  The MUADP is preparing these data sets for submission to CVM.</w:t>
      </w:r>
    </w:p>
    <w:p w14:paraId="154FE339" w14:textId="31EEA452" w:rsidR="00462C91" w:rsidRPr="0005372F" w:rsidRDefault="00D94813" w:rsidP="009D7E75">
      <w:pPr>
        <w:spacing w:before="240"/>
        <w:jc w:val="both"/>
        <w:rPr>
          <w:rFonts w:ascii="Times New Roman" w:hAnsi="Times New Roman" w:cs="Times New Roman"/>
          <w:bCs/>
        </w:rPr>
      </w:pPr>
      <w:r w:rsidRPr="00C26607">
        <w:rPr>
          <w:rFonts w:ascii="Times New Roman" w:hAnsi="Times New Roman" w:cs="Times New Roman"/>
          <w:bCs/>
          <w:u w:val="single"/>
        </w:rPr>
        <w:t>2.</w:t>
      </w:r>
      <w:r w:rsidR="0005372F" w:rsidRPr="00C26607">
        <w:rPr>
          <w:rFonts w:ascii="Times New Roman" w:hAnsi="Times New Roman" w:cs="Times New Roman"/>
          <w:bCs/>
          <w:u w:val="single"/>
        </w:rPr>
        <w:t xml:space="preserve"> </w:t>
      </w:r>
      <w:r w:rsidRPr="00C26607">
        <w:rPr>
          <w:rFonts w:ascii="Times New Roman" w:hAnsi="Times New Roman" w:cs="Times New Roman"/>
          <w:bCs/>
          <w:u w:val="single"/>
        </w:rPr>
        <w:t xml:space="preserve"> </w:t>
      </w:r>
      <w:r w:rsidR="00462C91" w:rsidRPr="00C26607">
        <w:rPr>
          <w:rFonts w:ascii="Times New Roman" w:hAnsi="Times New Roman" w:cs="Times New Roman"/>
          <w:bCs/>
          <w:u w:val="single"/>
        </w:rPr>
        <w:t>Strontium Chloride immersion for salmon</w:t>
      </w:r>
      <w:r w:rsidR="00462C91" w:rsidRPr="00C26607">
        <w:rPr>
          <w:rFonts w:ascii="Times New Roman" w:hAnsi="Times New Roman" w:cs="Times New Roman"/>
          <w:bCs/>
        </w:rPr>
        <w:t>:</w:t>
      </w:r>
      <w:r w:rsidR="00462C91" w:rsidRPr="0005372F">
        <w:rPr>
          <w:rFonts w:ascii="Times New Roman" w:hAnsi="Times New Roman" w:cs="Times New Roman"/>
          <w:bCs/>
        </w:rPr>
        <w:t xml:space="preserve"> </w:t>
      </w:r>
    </w:p>
    <w:p w14:paraId="2CA2F9FF" w14:textId="3E127845" w:rsidR="00462C91" w:rsidRPr="0005372F" w:rsidRDefault="00462C91" w:rsidP="009D7E75">
      <w:pPr>
        <w:ind w:firstLine="360"/>
        <w:jc w:val="both"/>
        <w:rPr>
          <w:rFonts w:ascii="Times New Roman" w:hAnsi="Times New Roman" w:cs="Times New Roman"/>
        </w:rPr>
      </w:pPr>
      <w:r w:rsidRPr="0005372F">
        <w:rPr>
          <w:rFonts w:ascii="Times New Roman" w:hAnsi="Times New Roman" w:cs="Times New Roman"/>
          <w:bCs/>
        </w:rPr>
        <w:t>MUADP continues collaboration with our</w:t>
      </w:r>
      <w:r w:rsidRPr="0005372F">
        <w:rPr>
          <w:rFonts w:ascii="Times New Roman" w:hAnsi="Times New Roman" w:cs="Times New Roman"/>
        </w:rPr>
        <w:t xml:space="preserve"> research partner, </w:t>
      </w:r>
      <w:proofErr w:type="spellStart"/>
      <w:r w:rsidRPr="0005372F">
        <w:rPr>
          <w:rFonts w:ascii="Times New Roman" w:hAnsi="Times New Roman" w:cs="Times New Roman"/>
        </w:rPr>
        <w:t>Syndel</w:t>
      </w:r>
      <w:proofErr w:type="spellEnd"/>
      <w:r w:rsidRPr="0005372F">
        <w:rPr>
          <w:rFonts w:ascii="Times New Roman" w:hAnsi="Times New Roman" w:cs="Times New Roman"/>
        </w:rPr>
        <w:t xml:space="preserve"> USA, to generate the data necessary to obtain FDA approval of strontium chloride hexahydrate immersion for the skeletal marking of freshwater salmonid fry and fingerlings. Fishery managers need a method to chemically mark salmon to determine migration patterns while avoiding the stress of tagging or other physical markings. While there are other drug products approved for skeletal marking in salmon, this project provides a non-antimicrobial alternative. </w:t>
      </w:r>
    </w:p>
    <w:p w14:paraId="035D809C" w14:textId="6ADD7FFC" w:rsidR="00462C91" w:rsidRPr="00247E7D" w:rsidRDefault="00462C91" w:rsidP="009D7E75">
      <w:pPr>
        <w:pStyle w:val="ListParagraph"/>
        <w:numPr>
          <w:ilvl w:val="1"/>
          <w:numId w:val="14"/>
        </w:numPr>
        <w:spacing w:before="120"/>
        <w:ind w:hanging="450"/>
        <w:jc w:val="both"/>
        <w:rPr>
          <w:rFonts w:ascii="Times New Roman" w:hAnsi="Times New Roman" w:cs="Times New Roman"/>
          <w:u w:val="single"/>
        </w:rPr>
      </w:pPr>
      <w:r w:rsidRPr="00247E7D">
        <w:rPr>
          <w:rFonts w:ascii="Times New Roman" w:hAnsi="Times New Roman" w:cs="Times New Roman"/>
          <w:u w:val="single"/>
        </w:rPr>
        <w:t>Target Animal Safety:</w:t>
      </w:r>
    </w:p>
    <w:p w14:paraId="7C222B9F" w14:textId="72DA8CDE" w:rsidR="00077B99" w:rsidRPr="00077B99" w:rsidRDefault="00462C91" w:rsidP="00077B99">
      <w:pPr>
        <w:pStyle w:val="ListParagraph"/>
        <w:spacing w:after="0" w:line="240" w:lineRule="auto"/>
        <w:ind w:left="0" w:firstLine="360"/>
        <w:jc w:val="both"/>
        <w:rPr>
          <w:rFonts w:ascii="Times New Roman" w:hAnsi="Times New Roman" w:cs="Times New Roman"/>
          <w:sz w:val="24"/>
          <w:szCs w:val="24"/>
        </w:rPr>
      </w:pPr>
      <w:r w:rsidRPr="0005372F">
        <w:rPr>
          <w:rFonts w:ascii="Times New Roman" w:hAnsi="Times New Roman" w:cs="Times New Roman"/>
          <w:sz w:val="24"/>
          <w:szCs w:val="24"/>
        </w:rPr>
        <w:t xml:space="preserve">Dr. Rod Getchell, Northeast Regional Coordinator for the MUADP, completed a GLP Target </w:t>
      </w:r>
      <w:r w:rsidRPr="006D6372">
        <w:rPr>
          <w:rFonts w:ascii="Times New Roman" w:hAnsi="Times New Roman" w:cs="Times New Roman"/>
          <w:sz w:val="24"/>
          <w:szCs w:val="24"/>
        </w:rPr>
        <w:t xml:space="preserve">Animal Safety study evaluating </w:t>
      </w:r>
      <w:bookmarkStart w:id="0" w:name="_Hlk40095668"/>
      <w:r w:rsidRPr="006D6372">
        <w:rPr>
          <w:rFonts w:ascii="Times New Roman" w:hAnsi="Times New Roman" w:cs="Times New Roman"/>
          <w:sz w:val="24"/>
          <w:szCs w:val="24"/>
        </w:rPr>
        <w:t xml:space="preserve">strontium chloride hexahydrate immersion for the skeletal marking </w:t>
      </w:r>
      <w:r w:rsidRPr="00A33B13">
        <w:rPr>
          <w:rFonts w:ascii="Times New Roman" w:hAnsi="Times New Roman" w:cs="Times New Roman"/>
          <w:sz w:val="24"/>
          <w:szCs w:val="24"/>
        </w:rPr>
        <w:lastRenderedPageBreak/>
        <w:t>of freshwater salmonid fry and fingerlings.</w:t>
      </w:r>
      <w:bookmarkEnd w:id="0"/>
      <w:r w:rsidRPr="00A33B13">
        <w:rPr>
          <w:rFonts w:ascii="Times New Roman" w:hAnsi="Times New Roman" w:cs="Times New Roman"/>
          <w:sz w:val="24"/>
          <w:szCs w:val="24"/>
        </w:rPr>
        <w:t xml:space="preserve"> In May 2019, CVM determined that the Target Animal Safety technical section was complete for this indication.</w:t>
      </w:r>
    </w:p>
    <w:p w14:paraId="469E0080" w14:textId="77777777" w:rsidR="003211FD" w:rsidRDefault="003211FD" w:rsidP="009D7E75">
      <w:pPr>
        <w:pStyle w:val="ListParagraph"/>
        <w:spacing w:after="0" w:line="240" w:lineRule="auto"/>
        <w:ind w:left="0" w:firstLine="360"/>
        <w:jc w:val="both"/>
        <w:rPr>
          <w:rFonts w:ascii="Times New Roman" w:hAnsi="Times New Roman" w:cs="Times New Roman"/>
          <w:sz w:val="24"/>
          <w:szCs w:val="24"/>
        </w:rPr>
      </w:pPr>
    </w:p>
    <w:p w14:paraId="1FCE4014" w14:textId="0FBF3CD3" w:rsidR="003211FD" w:rsidRPr="008F2F4A" w:rsidRDefault="003211FD" w:rsidP="009D7E75">
      <w:pPr>
        <w:pStyle w:val="ListParagraph"/>
        <w:numPr>
          <w:ilvl w:val="0"/>
          <w:numId w:val="14"/>
        </w:numPr>
        <w:spacing w:before="120"/>
        <w:jc w:val="both"/>
        <w:rPr>
          <w:rFonts w:ascii="Times New Roman" w:hAnsi="Times New Roman" w:cs="Times New Roman"/>
          <w:u w:val="single"/>
        </w:rPr>
      </w:pPr>
      <w:r w:rsidRPr="008F2F4A">
        <w:rPr>
          <w:rFonts w:ascii="Times New Roman" w:hAnsi="Times New Roman" w:cs="Times New Roman"/>
          <w:u w:val="single"/>
        </w:rPr>
        <w:t>Efficacy of CIDRs for synchronization of estrus in goats:</w:t>
      </w:r>
    </w:p>
    <w:p w14:paraId="4D0BD4B9" w14:textId="5B73432B" w:rsidR="003211FD" w:rsidRDefault="003211FD" w:rsidP="009D7E75">
      <w:pPr>
        <w:pStyle w:val="ListParagraph"/>
        <w:numPr>
          <w:ilvl w:val="1"/>
          <w:numId w:val="14"/>
        </w:numPr>
        <w:spacing w:after="0" w:line="240" w:lineRule="auto"/>
        <w:ind w:left="360"/>
        <w:jc w:val="both"/>
        <w:rPr>
          <w:rFonts w:ascii="Times New Roman" w:hAnsi="Times New Roman" w:cs="Times New Roman"/>
          <w:sz w:val="24"/>
          <w:szCs w:val="24"/>
        </w:rPr>
      </w:pPr>
      <w:r w:rsidRPr="00A33B13">
        <w:rPr>
          <w:rFonts w:ascii="Times New Roman" w:hAnsi="Times New Roman" w:cs="Times New Roman"/>
          <w:sz w:val="24"/>
          <w:szCs w:val="24"/>
        </w:rPr>
        <w:t>No progress to report.</w:t>
      </w:r>
    </w:p>
    <w:p w14:paraId="6FE4BA82" w14:textId="77777777" w:rsidR="003211FD" w:rsidRPr="003211FD" w:rsidRDefault="003211FD" w:rsidP="009D7E75">
      <w:pPr>
        <w:pStyle w:val="ListParagraph"/>
        <w:spacing w:after="0" w:line="240" w:lineRule="auto"/>
        <w:ind w:left="360"/>
        <w:jc w:val="both"/>
        <w:rPr>
          <w:rFonts w:ascii="Times New Roman" w:hAnsi="Times New Roman" w:cs="Times New Roman"/>
          <w:sz w:val="24"/>
          <w:szCs w:val="24"/>
        </w:rPr>
      </w:pPr>
    </w:p>
    <w:p w14:paraId="76592912" w14:textId="2F235EB0" w:rsidR="006D6372" w:rsidRDefault="006D6372" w:rsidP="009D7E75">
      <w:pPr>
        <w:pStyle w:val="ListParagraph"/>
        <w:numPr>
          <w:ilvl w:val="0"/>
          <w:numId w:val="14"/>
        </w:numPr>
        <w:spacing w:after="0" w:line="240" w:lineRule="auto"/>
        <w:jc w:val="both"/>
        <w:rPr>
          <w:rFonts w:ascii="Times New Roman" w:hAnsi="Times New Roman" w:cs="Times New Roman"/>
          <w:sz w:val="24"/>
          <w:szCs w:val="24"/>
          <w:u w:val="single"/>
        </w:rPr>
      </w:pPr>
      <w:r w:rsidRPr="00A33B13">
        <w:rPr>
          <w:rFonts w:ascii="Times New Roman" w:hAnsi="Times New Roman" w:cs="Times New Roman"/>
          <w:sz w:val="24"/>
          <w:szCs w:val="24"/>
          <w:u w:val="single"/>
        </w:rPr>
        <w:t>Tulathromycin (Draxxin) Tissue Residue in Goats.</w:t>
      </w:r>
    </w:p>
    <w:p w14:paraId="7330D6DC" w14:textId="295D7B87" w:rsidR="006D6372" w:rsidRPr="00DA537F" w:rsidRDefault="00DA537F" w:rsidP="009D7E75">
      <w:pPr>
        <w:jc w:val="both"/>
        <w:rPr>
          <w:rFonts w:ascii="Times New Roman" w:hAnsi="Times New Roman" w:cs="Times New Roman"/>
          <w:u w:val="single"/>
        </w:rPr>
      </w:pPr>
      <w:r>
        <w:rPr>
          <w:rFonts w:ascii="Times New Roman" w:eastAsia="Times New Roman" w:hAnsi="Times New Roman" w:cs="Times New Roman"/>
        </w:rPr>
        <w:t xml:space="preserve">4.1 </w:t>
      </w:r>
      <w:r w:rsidR="008F2F4A" w:rsidRPr="00792FC6">
        <w:rPr>
          <w:rFonts w:ascii="Times New Roman" w:eastAsia="Times New Roman" w:hAnsi="Times New Roman" w:cs="Times New Roman"/>
          <w:u w:val="single"/>
        </w:rPr>
        <w:t>Target Animal Safety</w:t>
      </w:r>
      <w:r w:rsidR="008F2F4A" w:rsidRPr="00DA537F">
        <w:rPr>
          <w:rFonts w:ascii="Times New Roman" w:eastAsia="Times New Roman" w:hAnsi="Times New Roman" w:cs="Times New Roman"/>
        </w:rPr>
        <w:t xml:space="preserve">: </w:t>
      </w:r>
      <w:r w:rsidR="006D6372" w:rsidRPr="00DA537F">
        <w:rPr>
          <w:rFonts w:ascii="Times New Roman" w:eastAsia="Times New Roman" w:hAnsi="Times New Roman" w:cs="Times New Roman"/>
        </w:rPr>
        <w:t>The ultimate objective of this project is to perform studies in support of FDA/CVM approval of a label claim for Draxxin in goats. In the summer and fall of 2017, Dr. Joe Smith conducted work to determine the pharmacokinetics of Draxxin in infected vs uninfected goats (Abstract of presentation at the ACVIM meeting below). In addition, selected target tissues were harvested from the uninfected goats and frozen for determination of tissue residue levels in preparation for conducting a required Human Food Safety study.</w:t>
      </w:r>
    </w:p>
    <w:p w14:paraId="33AFAD95" w14:textId="43A3347F" w:rsidR="006D6372" w:rsidRDefault="006D6372" w:rsidP="009D7E75">
      <w:pPr>
        <w:jc w:val="both"/>
        <w:rPr>
          <w:rFonts w:ascii="Times New Roman" w:hAnsi="Times New Roman" w:cs="Times New Roman"/>
        </w:rPr>
      </w:pPr>
      <w:r w:rsidRPr="00A33B13">
        <w:rPr>
          <w:rFonts w:ascii="Times New Roman" w:hAnsi="Times New Roman" w:cs="Times New Roman"/>
        </w:rPr>
        <w:t xml:space="preserve">4.2 </w:t>
      </w:r>
      <w:r w:rsidRPr="00792FC6">
        <w:rPr>
          <w:rFonts w:ascii="Times New Roman" w:hAnsi="Times New Roman" w:cs="Times New Roman"/>
          <w:u w:val="single"/>
        </w:rPr>
        <w:t>Publication</w:t>
      </w:r>
      <w:r w:rsidRPr="00A33B13">
        <w:rPr>
          <w:rFonts w:ascii="Times New Roman" w:hAnsi="Times New Roman" w:cs="Times New Roman"/>
        </w:rPr>
        <w:t>: Preliminary evaluation of a Pasteurella multocida respiratory disease induction model for goats Comparative Medicine (In Press)</w:t>
      </w:r>
    </w:p>
    <w:p w14:paraId="6721B736" w14:textId="77777777" w:rsidR="008F2F4A" w:rsidRPr="00A33B13" w:rsidRDefault="008F2F4A" w:rsidP="009D7E75">
      <w:pPr>
        <w:jc w:val="both"/>
        <w:rPr>
          <w:rFonts w:ascii="Times New Roman" w:hAnsi="Times New Roman" w:cs="Times New Roman"/>
        </w:rPr>
      </w:pPr>
    </w:p>
    <w:p w14:paraId="68043465" w14:textId="50E394A2" w:rsidR="003211FD" w:rsidRPr="003331DC" w:rsidRDefault="003211FD" w:rsidP="009D7E75">
      <w:pPr>
        <w:jc w:val="both"/>
        <w:rPr>
          <w:rFonts w:ascii="Times New Roman" w:hAnsi="Times New Roman" w:cs="Times New Roman"/>
          <w:u w:val="single"/>
        </w:rPr>
      </w:pPr>
      <w:r w:rsidRPr="003331DC">
        <w:rPr>
          <w:rFonts w:ascii="Times New Roman" w:hAnsi="Times New Roman" w:cs="Times New Roman"/>
          <w:u w:val="single"/>
        </w:rPr>
        <w:t xml:space="preserve">5. </w:t>
      </w:r>
      <w:r w:rsidR="000D53CC" w:rsidRPr="000D53CC">
        <w:rPr>
          <w:rFonts w:ascii="Times New Roman" w:hAnsi="Times New Roman" w:cs="Times New Roman"/>
          <w:u w:val="single"/>
        </w:rPr>
        <w:t>Efficacy of oral chlortetracycline for control of naturally acquired respiratory disease in feeder lambs</w:t>
      </w:r>
      <w:r w:rsidRPr="003331DC">
        <w:rPr>
          <w:rFonts w:ascii="Times New Roman" w:hAnsi="Times New Roman" w:cs="Times New Roman"/>
          <w:u w:val="single"/>
        </w:rPr>
        <w:t xml:space="preserve">. </w:t>
      </w:r>
    </w:p>
    <w:p w14:paraId="12C7FE5D" w14:textId="381D3027" w:rsidR="003211FD" w:rsidRPr="003A5E74" w:rsidRDefault="003211FD" w:rsidP="009D7E75">
      <w:pPr>
        <w:jc w:val="both"/>
        <w:rPr>
          <w:rFonts w:ascii="Times New Roman" w:hAnsi="Times New Roman" w:cs="Times New Roman"/>
        </w:rPr>
      </w:pPr>
      <w:r w:rsidRPr="003A5E74">
        <w:rPr>
          <w:rFonts w:ascii="Times New Roman" w:hAnsi="Times New Roman" w:cs="Times New Roman"/>
        </w:rPr>
        <w:t>5.</w:t>
      </w:r>
      <w:r w:rsidRPr="00792FC6">
        <w:rPr>
          <w:rFonts w:ascii="Times New Roman" w:hAnsi="Times New Roman" w:cs="Times New Roman"/>
          <w:u w:val="single"/>
        </w:rPr>
        <w:t>1 Principal investigators</w:t>
      </w:r>
      <w:r w:rsidRPr="003A5E74">
        <w:rPr>
          <w:rFonts w:ascii="Times New Roman" w:hAnsi="Times New Roman" w:cs="Times New Roman"/>
        </w:rPr>
        <w:t xml:space="preserve">: </w:t>
      </w:r>
      <w:r w:rsidR="000D53CC" w:rsidRPr="000D53CC">
        <w:rPr>
          <w:rFonts w:ascii="Times New Roman" w:hAnsi="Times New Roman" w:cs="Times New Roman"/>
        </w:rPr>
        <w:t xml:space="preserve">Katelyn </w:t>
      </w:r>
      <w:proofErr w:type="spellStart"/>
      <w:r w:rsidR="000D53CC" w:rsidRPr="000D53CC">
        <w:rPr>
          <w:rFonts w:ascii="Times New Roman" w:hAnsi="Times New Roman" w:cs="Times New Roman"/>
        </w:rPr>
        <w:t>Ternus</w:t>
      </w:r>
      <w:proofErr w:type="spellEnd"/>
      <w:r w:rsidR="000D53CC" w:rsidRPr="000D53CC">
        <w:rPr>
          <w:rFonts w:ascii="Times New Roman" w:hAnsi="Times New Roman" w:cs="Times New Roman"/>
        </w:rPr>
        <w:t xml:space="preserve">, Dawson </w:t>
      </w:r>
      <w:proofErr w:type="spellStart"/>
      <w:r w:rsidR="000D53CC" w:rsidRPr="000D53CC">
        <w:rPr>
          <w:rFonts w:ascii="Times New Roman" w:hAnsi="Times New Roman" w:cs="Times New Roman"/>
        </w:rPr>
        <w:t>LaBorde</w:t>
      </w:r>
      <w:proofErr w:type="spellEnd"/>
      <w:r w:rsidR="000D53CC" w:rsidRPr="000D53CC">
        <w:rPr>
          <w:rFonts w:ascii="Times New Roman" w:hAnsi="Times New Roman" w:cs="Times New Roman"/>
        </w:rPr>
        <w:t>, Ron Griffith, Paul Plummer, Kelly Still Brooks</w:t>
      </w:r>
      <w:r w:rsidRPr="003A5E74">
        <w:rPr>
          <w:rFonts w:ascii="Times New Roman" w:hAnsi="Times New Roman" w:cs="Times New Roman"/>
        </w:rPr>
        <w:t xml:space="preserve">. </w:t>
      </w:r>
    </w:p>
    <w:p w14:paraId="02A36F5E" w14:textId="6F7C40F3" w:rsidR="003211FD" w:rsidRPr="003A5E74" w:rsidRDefault="003211FD" w:rsidP="009D7E75">
      <w:pPr>
        <w:jc w:val="both"/>
        <w:rPr>
          <w:rFonts w:ascii="Times New Roman" w:hAnsi="Times New Roman" w:cs="Times New Roman"/>
        </w:rPr>
      </w:pPr>
      <w:r w:rsidRPr="003A5E74">
        <w:rPr>
          <w:rFonts w:ascii="Times New Roman" w:hAnsi="Times New Roman" w:cs="Times New Roman"/>
        </w:rPr>
        <w:t xml:space="preserve">5.2 </w:t>
      </w:r>
      <w:r w:rsidR="000D53CC" w:rsidRPr="00792FC6">
        <w:rPr>
          <w:rFonts w:ascii="Times New Roman" w:hAnsi="Times New Roman" w:cs="Times New Roman"/>
          <w:u w:val="single"/>
        </w:rPr>
        <w:t>Objective</w:t>
      </w:r>
      <w:r w:rsidR="000D53CC">
        <w:rPr>
          <w:rFonts w:ascii="Times New Roman" w:hAnsi="Times New Roman" w:cs="Times New Roman"/>
        </w:rPr>
        <w:t xml:space="preserve">: </w:t>
      </w:r>
      <w:r w:rsidRPr="003A5E74">
        <w:rPr>
          <w:rFonts w:ascii="Times New Roman" w:hAnsi="Times New Roman" w:cs="Times New Roman"/>
        </w:rPr>
        <w:t xml:space="preserve">The purpose of this study was to evaluate if medicating feeder lambs with oral </w:t>
      </w:r>
      <w:r w:rsidR="00177977">
        <w:rPr>
          <w:rFonts w:ascii="Times New Roman" w:hAnsi="Times New Roman" w:cs="Times New Roman"/>
        </w:rPr>
        <w:t>chlortetracycline (</w:t>
      </w:r>
      <w:r w:rsidRPr="003A5E74">
        <w:rPr>
          <w:rFonts w:ascii="Times New Roman" w:hAnsi="Times New Roman" w:cs="Times New Roman"/>
        </w:rPr>
        <w:t>CTC</w:t>
      </w:r>
      <w:r w:rsidR="00177977">
        <w:rPr>
          <w:rFonts w:ascii="Times New Roman" w:hAnsi="Times New Roman" w:cs="Times New Roman"/>
        </w:rPr>
        <w:t>)</w:t>
      </w:r>
      <w:r w:rsidRPr="003A5E74">
        <w:rPr>
          <w:rFonts w:ascii="Times New Roman" w:hAnsi="Times New Roman" w:cs="Times New Roman"/>
        </w:rPr>
        <w:t xml:space="preserve"> decreases the prevalence of clinical and subclinical respiratory disease. </w:t>
      </w:r>
      <w:r w:rsidR="000D53CC">
        <w:rPr>
          <w:rFonts w:ascii="Times New Roman" w:hAnsi="Times New Roman" w:cs="Times New Roman"/>
        </w:rPr>
        <w:t>5.3</w:t>
      </w:r>
      <w:r w:rsidR="000D53CC" w:rsidRPr="00792FC6">
        <w:rPr>
          <w:rFonts w:ascii="Times New Roman" w:hAnsi="Times New Roman" w:cs="Times New Roman"/>
          <w:u w:val="single"/>
        </w:rPr>
        <w:t xml:space="preserve"> Methods</w:t>
      </w:r>
      <w:r w:rsidR="000D53CC">
        <w:rPr>
          <w:rFonts w:ascii="Times New Roman" w:hAnsi="Times New Roman" w:cs="Times New Roman"/>
        </w:rPr>
        <w:t xml:space="preserve">: </w:t>
      </w:r>
      <w:r w:rsidRPr="003A5E74">
        <w:rPr>
          <w:rFonts w:ascii="Times New Roman" w:hAnsi="Times New Roman" w:cs="Times New Roman"/>
        </w:rPr>
        <w:t xml:space="preserve">This study was conducted as a blinded, randomized clinical trial enrolling 160 weaned feeder lambs with natural exposure to ovine respiratory disease. The efficacy of CTC for control of ovine respiratory disease was evaluated through overall average daily gain, ruminal core body temperature, ante mortem clinical respiratory disease scores, post mortem lung lesion scores, and pulmonary tissue culture. </w:t>
      </w:r>
    </w:p>
    <w:p w14:paraId="7712794B" w14:textId="77777777" w:rsidR="003211FD" w:rsidRPr="003A5E74" w:rsidRDefault="003211FD" w:rsidP="009D7E75">
      <w:pPr>
        <w:ind w:firstLine="720"/>
        <w:jc w:val="both"/>
        <w:rPr>
          <w:rFonts w:ascii="Times New Roman" w:hAnsi="Times New Roman" w:cs="Times New Roman"/>
        </w:rPr>
      </w:pPr>
      <w:r w:rsidRPr="003A5E74">
        <w:rPr>
          <w:rFonts w:ascii="Times New Roman" w:hAnsi="Times New Roman" w:cs="Times New Roman"/>
        </w:rPr>
        <w:t xml:space="preserve">Current project efforts are focused on preparation and laboratory analysis of the banked biologic samples. The ovine plasma CTC concentration determinations have been completed by Scott </w:t>
      </w:r>
      <w:proofErr w:type="spellStart"/>
      <w:r w:rsidRPr="003A5E74">
        <w:rPr>
          <w:rFonts w:ascii="Times New Roman" w:hAnsi="Times New Roman" w:cs="Times New Roman"/>
        </w:rPr>
        <w:t>Wetzlich</w:t>
      </w:r>
      <w:proofErr w:type="spellEnd"/>
      <w:r w:rsidRPr="003A5E74">
        <w:rPr>
          <w:rFonts w:ascii="Times New Roman" w:hAnsi="Times New Roman" w:cs="Times New Roman"/>
        </w:rPr>
        <w:t xml:space="preserve"> (UC Davis) and the raw data has been returned to the research team. Dr. </w:t>
      </w:r>
      <w:proofErr w:type="spellStart"/>
      <w:r w:rsidRPr="003A5E74">
        <w:rPr>
          <w:rFonts w:ascii="Times New Roman" w:hAnsi="Times New Roman" w:cs="Times New Roman"/>
        </w:rPr>
        <w:t>Fufa</w:t>
      </w:r>
      <w:proofErr w:type="spellEnd"/>
      <w:r w:rsidRPr="003A5E74">
        <w:rPr>
          <w:rFonts w:ascii="Times New Roman" w:hAnsi="Times New Roman" w:cs="Times New Roman"/>
        </w:rPr>
        <w:t xml:space="preserve"> Bari completed DNA library preparation of a subset of the bronchoalveolar lavage samples last fall; viral metagenomic sequencing was run at the ISU VDL and the bioinformatics analysis has been returned to the research team. </w:t>
      </w:r>
    </w:p>
    <w:p w14:paraId="1DE2024F" w14:textId="608AE555" w:rsidR="003211FD" w:rsidRPr="000E2096" w:rsidRDefault="003211FD" w:rsidP="009D7E75">
      <w:pPr>
        <w:spacing w:after="120"/>
        <w:ind w:firstLine="720"/>
        <w:jc w:val="both"/>
        <w:rPr>
          <w:rFonts w:ascii="Times New Roman" w:hAnsi="Times New Roman" w:cs="Times New Roman"/>
          <w:color w:val="1F497D"/>
        </w:rPr>
      </w:pPr>
      <w:r w:rsidRPr="003A5E74">
        <w:rPr>
          <w:rFonts w:ascii="Times New Roman" w:hAnsi="Times New Roman" w:cs="Times New Roman"/>
        </w:rPr>
        <w:t xml:space="preserve">These samples will be submitted for tetracycline resistance marker shotgun sequencing at the end of the summer (2018) when the 16s samples are ready for assay. DNA prep for the water biofilm samples is nearly complete and DNA prep of the BAL, fecal, </w:t>
      </w:r>
      <w:proofErr w:type="spellStart"/>
      <w:r w:rsidRPr="003A5E74">
        <w:rPr>
          <w:rFonts w:ascii="Times New Roman" w:hAnsi="Times New Roman" w:cs="Times New Roman"/>
        </w:rPr>
        <w:t>cecal</w:t>
      </w:r>
      <w:proofErr w:type="spellEnd"/>
      <w:r w:rsidRPr="003A5E74">
        <w:rPr>
          <w:rFonts w:ascii="Times New Roman" w:hAnsi="Times New Roman" w:cs="Times New Roman"/>
        </w:rPr>
        <w:t xml:space="preserve">, and rumen samples will be performed this summer, with bulk submission of all samples for 16s sequencing slated for </w:t>
      </w:r>
      <w:r w:rsidRPr="00E4221C">
        <w:rPr>
          <w:rFonts w:ascii="Times New Roman" w:hAnsi="Times New Roman" w:cs="Times New Roman"/>
        </w:rPr>
        <w:t xml:space="preserve">this fall. Coordination is in progress to complete the quantitative feed tetracycline analysis through Zoetis this summer. </w:t>
      </w:r>
    </w:p>
    <w:p w14:paraId="6C371EA9" w14:textId="77777777" w:rsidR="003A5E74" w:rsidRPr="003331DC" w:rsidRDefault="003A5E74" w:rsidP="009D7E75">
      <w:pPr>
        <w:pStyle w:val="ListParagraph"/>
        <w:numPr>
          <w:ilvl w:val="0"/>
          <w:numId w:val="12"/>
        </w:numPr>
        <w:spacing w:after="0" w:line="240" w:lineRule="auto"/>
        <w:ind w:left="270" w:hanging="270"/>
        <w:jc w:val="both"/>
        <w:rPr>
          <w:rFonts w:ascii="Times New Roman" w:hAnsi="Times New Roman" w:cs="Times New Roman"/>
          <w:sz w:val="24"/>
          <w:szCs w:val="24"/>
          <w:u w:val="single"/>
        </w:rPr>
      </w:pPr>
      <w:r w:rsidRPr="003331DC">
        <w:rPr>
          <w:rFonts w:ascii="Times New Roman" w:hAnsi="Times New Roman" w:cs="Times New Roman"/>
          <w:sz w:val="24"/>
          <w:szCs w:val="24"/>
          <w:u w:val="single"/>
        </w:rPr>
        <w:t xml:space="preserve">Ivermectin Molasses/Protein/Mineral Tubs for Eradication of Cattle Fever Ticks. </w:t>
      </w:r>
    </w:p>
    <w:p w14:paraId="0D1C9518" w14:textId="2E631C6C" w:rsidR="003A5E74" w:rsidRDefault="00792FC6" w:rsidP="009D7E75">
      <w:pPr>
        <w:pStyle w:val="ListParagraph"/>
        <w:numPr>
          <w:ilvl w:val="1"/>
          <w:numId w:val="12"/>
        </w:numPr>
        <w:tabs>
          <w:tab w:val="left" w:pos="360"/>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Report</w:t>
      </w:r>
      <w:r w:rsidRPr="00792FC6">
        <w:rPr>
          <w:rFonts w:ascii="Times New Roman" w:hAnsi="Times New Roman" w:cs="Times New Roman"/>
          <w:sz w:val="24"/>
          <w:szCs w:val="24"/>
        </w:rPr>
        <w:t xml:space="preserve">: </w:t>
      </w:r>
      <w:r w:rsidR="003A5E74" w:rsidRPr="00792FC6">
        <w:rPr>
          <w:rFonts w:ascii="Times New Roman" w:hAnsi="Times New Roman" w:cs="Times New Roman"/>
          <w:sz w:val="24"/>
          <w:szCs w:val="24"/>
        </w:rPr>
        <w:t>The study report for this project has been compiled and organized.</w:t>
      </w:r>
      <w:r w:rsidR="003A5E74" w:rsidRPr="009128C9">
        <w:rPr>
          <w:rFonts w:ascii="Times New Roman" w:hAnsi="Times New Roman" w:cs="Times New Roman"/>
          <w:sz w:val="24"/>
          <w:szCs w:val="24"/>
        </w:rPr>
        <w:t xml:space="preserve"> Plans are to return the report to </w:t>
      </w:r>
      <w:proofErr w:type="spellStart"/>
      <w:proofErr w:type="gramStart"/>
      <w:r w:rsidR="003A5E74" w:rsidRPr="009128C9">
        <w:rPr>
          <w:rFonts w:ascii="Times New Roman" w:hAnsi="Times New Roman" w:cs="Times New Roman"/>
          <w:sz w:val="24"/>
          <w:szCs w:val="24"/>
        </w:rPr>
        <w:t>Dr.Dan</w:t>
      </w:r>
      <w:proofErr w:type="spellEnd"/>
      <w:proofErr w:type="gramEnd"/>
      <w:r w:rsidR="003A5E74" w:rsidRPr="009128C9">
        <w:rPr>
          <w:rFonts w:ascii="Times New Roman" w:hAnsi="Times New Roman" w:cs="Times New Roman"/>
          <w:sz w:val="24"/>
          <w:szCs w:val="24"/>
        </w:rPr>
        <w:t xml:space="preserve"> Baca for submission to the FDA/CVM. However, the manufacturer has not reached an agreement with Merial for the right of reference and the manufacturer has also not been able to complete the Chemistry and Manufacturing Component. The latter was to be performed before or </w:t>
      </w:r>
      <w:r w:rsidR="003A5E74" w:rsidRPr="003331DC">
        <w:rPr>
          <w:rFonts w:ascii="Times New Roman" w:hAnsi="Times New Roman" w:cs="Times New Roman"/>
          <w:sz w:val="24"/>
          <w:szCs w:val="24"/>
        </w:rPr>
        <w:t>at least early in the work.</w:t>
      </w:r>
    </w:p>
    <w:p w14:paraId="414E308C" w14:textId="77777777" w:rsidR="00F827B0" w:rsidRPr="003331DC" w:rsidRDefault="00F827B0" w:rsidP="009D7E75">
      <w:pPr>
        <w:pStyle w:val="ListParagraph"/>
        <w:tabs>
          <w:tab w:val="left" w:pos="360"/>
        </w:tabs>
        <w:spacing w:after="120" w:line="240" w:lineRule="auto"/>
        <w:ind w:left="0"/>
        <w:jc w:val="both"/>
        <w:rPr>
          <w:rFonts w:ascii="Times New Roman" w:hAnsi="Times New Roman" w:cs="Times New Roman"/>
          <w:sz w:val="24"/>
          <w:szCs w:val="24"/>
        </w:rPr>
      </w:pPr>
    </w:p>
    <w:p w14:paraId="77CBF6A5" w14:textId="77777777" w:rsidR="009128C9" w:rsidRPr="003331DC" w:rsidRDefault="009128C9" w:rsidP="009D7E75">
      <w:pPr>
        <w:pStyle w:val="ListParagraph"/>
        <w:numPr>
          <w:ilvl w:val="0"/>
          <w:numId w:val="12"/>
        </w:numPr>
        <w:spacing w:before="120" w:after="0" w:line="240" w:lineRule="auto"/>
        <w:ind w:left="274" w:hanging="274"/>
        <w:jc w:val="both"/>
        <w:rPr>
          <w:rFonts w:ascii="Times New Roman" w:hAnsi="Times New Roman" w:cs="Times New Roman"/>
          <w:sz w:val="24"/>
          <w:szCs w:val="24"/>
          <w:u w:val="single"/>
        </w:rPr>
      </w:pPr>
      <w:r w:rsidRPr="003331DC">
        <w:rPr>
          <w:rFonts w:ascii="Times New Roman" w:hAnsi="Times New Roman" w:cs="Times New Roman"/>
          <w:sz w:val="24"/>
          <w:szCs w:val="24"/>
          <w:u w:val="single"/>
        </w:rPr>
        <w:lastRenderedPageBreak/>
        <w:t xml:space="preserve">Extended Vaccinal Immunity to </w:t>
      </w:r>
      <w:r w:rsidRPr="003331DC">
        <w:rPr>
          <w:rFonts w:ascii="Times New Roman" w:hAnsi="Times New Roman" w:cs="Times New Roman"/>
          <w:i/>
          <w:sz w:val="24"/>
          <w:szCs w:val="24"/>
          <w:u w:val="single"/>
        </w:rPr>
        <w:t>Haemonchus contortus</w:t>
      </w:r>
      <w:r w:rsidRPr="003331DC">
        <w:rPr>
          <w:rFonts w:ascii="Times New Roman" w:hAnsi="Times New Roman" w:cs="Times New Roman"/>
          <w:sz w:val="24"/>
          <w:szCs w:val="24"/>
          <w:u w:val="single"/>
        </w:rPr>
        <w:t xml:space="preserve"> in Sheep. </w:t>
      </w:r>
    </w:p>
    <w:p w14:paraId="721A8211" w14:textId="77777777" w:rsidR="009128C9" w:rsidRPr="003331DC" w:rsidRDefault="009128C9" w:rsidP="009D7E75">
      <w:pPr>
        <w:pStyle w:val="ListParagraph"/>
        <w:numPr>
          <w:ilvl w:val="1"/>
          <w:numId w:val="12"/>
        </w:numPr>
        <w:spacing w:after="0" w:line="240" w:lineRule="auto"/>
        <w:ind w:left="360"/>
        <w:jc w:val="both"/>
        <w:rPr>
          <w:rFonts w:ascii="Times New Roman" w:hAnsi="Times New Roman" w:cs="Times New Roman"/>
          <w:sz w:val="24"/>
          <w:szCs w:val="24"/>
        </w:rPr>
      </w:pPr>
      <w:r w:rsidRPr="00792FC6">
        <w:rPr>
          <w:rFonts w:ascii="Times New Roman" w:hAnsi="Times New Roman" w:cs="Times New Roman"/>
          <w:sz w:val="24"/>
          <w:szCs w:val="24"/>
          <w:u w:val="single"/>
        </w:rPr>
        <w:t>Principal Investigators</w:t>
      </w:r>
      <w:r w:rsidRPr="003331DC">
        <w:rPr>
          <w:rFonts w:ascii="Times New Roman" w:hAnsi="Times New Roman" w:cs="Times New Roman"/>
          <w:sz w:val="24"/>
          <w:szCs w:val="24"/>
        </w:rPr>
        <w:t xml:space="preserve">: Matt Brewer and Doug Jones.  </w:t>
      </w:r>
    </w:p>
    <w:p w14:paraId="615D4812" w14:textId="446076D2" w:rsidR="009128C9" w:rsidRPr="003331DC" w:rsidRDefault="009128C9" w:rsidP="009D7E75">
      <w:pPr>
        <w:pStyle w:val="ListParagraph"/>
        <w:numPr>
          <w:ilvl w:val="1"/>
          <w:numId w:val="12"/>
        </w:numPr>
        <w:spacing w:after="0" w:line="240" w:lineRule="auto"/>
        <w:ind w:left="360"/>
        <w:jc w:val="both"/>
        <w:rPr>
          <w:rFonts w:ascii="Times New Roman" w:hAnsi="Times New Roman" w:cs="Times New Roman"/>
          <w:sz w:val="24"/>
          <w:szCs w:val="24"/>
        </w:rPr>
      </w:pPr>
      <w:r w:rsidRPr="00792FC6">
        <w:rPr>
          <w:rFonts w:ascii="Times New Roman" w:hAnsi="Times New Roman" w:cs="Times New Roman"/>
          <w:sz w:val="24"/>
          <w:szCs w:val="24"/>
          <w:u w:val="single"/>
        </w:rPr>
        <w:t>Methods</w:t>
      </w:r>
      <w:r w:rsidRPr="003331DC">
        <w:rPr>
          <w:rFonts w:ascii="Times New Roman" w:hAnsi="Times New Roman" w:cs="Times New Roman"/>
          <w:sz w:val="24"/>
          <w:szCs w:val="24"/>
        </w:rPr>
        <w:t xml:space="preserve">: 24 sheep were divided into 4 experimental groups: adjuvant only (ADJ), soluble vaccine (SOL), implant with dextran adjuvant (DD), or implant with </w:t>
      </w:r>
      <w:proofErr w:type="spellStart"/>
      <w:r w:rsidRPr="003331DC">
        <w:rPr>
          <w:rFonts w:ascii="Times New Roman" w:hAnsi="Times New Roman" w:cs="Times New Roman"/>
          <w:sz w:val="24"/>
          <w:szCs w:val="24"/>
        </w:rPr>
        <w:t>Quil</w:t>
      </w:r>
      <w:proofErr w:type="spellEnd"/>
      <w:r w:rsidRPr="003331DC">
        <w:rPr>
          <w:rFonts w:ascii="Times New Roman" w:hAnsi="Times New Roman" w:cs="Times New Roman"/>
          <w:sz w:val="24"/>
          <w:szCs w:val="24"/>
        </w:rPr>
        <w:t xml:space="preserve"> A adjuvant (DQ). Sheep were infected with 4500 larvae 9 months post-vaccination (12 sheep) or 9000 larvae </w:t>
      </w:r>
      <w:r w:rsidR="003331DC">
        <w:rPr>
          <w:rFonts w:ascii="Times New Roman" w:hAnsi="Times New Roman" w:cs="Times New Roman"/>
          <w:sz w:val="24"/>
          <w:szCs w:val="24"/>
        </w:rPr>
        <w:t>one</w:t>
      </w:r>
      <w:r w:rsidRPr="003331DC">
        <w:rPr>
          <w:rFonts w:ascii="Times New Roman" w:hAnsi="Times New Roman" w:cs="Times New Roman"/>
          <w:sz w:val="24"/>
          <w:szCs w:val="24"/>
        </w:rPr>
        <w:t xml:space="preserve"> year post-</w:t>
      </w:r>
      <w:proofErr w:type="gramStart"/>
      <w:r w:rsidRPr="003331DC">
        <w:rPr>
          <w:rFonts w:ascii="Times New Roman" w:hAnsi="Times New Roman" w:cs="Times New Roman"/>
          <w:sz w:val="24"/>
          <w:szCs w:val="24"/>
        </w:rPr>
        <w:t>vaccination, and</w:t>
      </w:r>
      <w:proofErr w:type="gramEnd"/>
      <w:r w:rsidRPr="003331DC">
        <w:rPr>
          <w:rFonts w:ascii="Times New Roman" w:hAnsi="Times New Roman" w:cs="Times New Roman"/>
          <w:sz w:val="24"/>
          <w:szCs w:val="24"/>
        </w:rPr>
        <w:t xml:space="preserve"> necropsied 50-60 days post infection.  </w:t>
      </w:r>
    </w:p>
    <w:p w14:paraId="4CAD0C22" w14:textId="0BFE6AC2" w:rsidR="009128C9" w:rsidRPr="003331DC" w:rsidRDefault="009128C9" w:rsidP="009D7E75">
      <w:pPr>
        <w:pStyle w:val="ListParagraph"/>
        <w:numPr>
          <w:ilvl w:val="1"/>
          <w:numId w:val="12"/>
        </w:numPr>
        <w:spacing w:after="0" w:line="240" w:lineRule="auto"/>
        <w:ind w:left="360"/>
        <w:jc w:val="both"/>
        <w:rPr>
          <w:rFonts w:ascii="Times New Roman" w:hAnsi="Times New Roman" w:cs="Times New Roman"/>
          <w:sz w:val="24"/>
          <w:szCs w:val="24"/>
        </w:rPr>
      </w:pPr>
      <w:r w:rsidRPr="00792FC6">
        <w:rPr>
          <w:rFonts w:ascii="Times New Roman" w:hAnsi="Times New Roman" w:cs="Times New Roman"/>
          <w:sz w:val="24"/>
          <w:szCs w:val="24"/>
          <w:u w:val="single"/>
        </w:rPr>
        <w:t>Result</w:t>
      </w:r>
      <w:r w:rsidRPr="003331DC">
        <w:rPr>
          <w:rFonts w:ascii="Times New Roman" w:hAnsi="Times New Roman" w:cs="Times New Roman"/>
          <w:sz w:val="24"/>
          <w:szCs w:val="24"/>
        </w:rPr>
        <w:t xml:space="preserve">s: Implanted sheep had lower adult worm counts and all vaccinated sheep had decreased egg counts. Vaccination was also associated with a modest increase in PCV. FAMACHA scoring did not reveal any dramatic differences between control and vaccinated animals. Implanted animals had ELISA endpoint titers that were orders of magnitude greater than control animals 55 weeks post-vaccination.  IHC revealed serum antibodies binding to a variety of worm tissues, including the gut and body wall. Statistical analysis, additional IHC, and measurement of cytokines (recall responses) are underway.  We have identified a suitable source of refined </w:t>
      </w:r>
      <w:r w:rsidRPr="003331DC">
        <w:rPr>
          <w:rFonts w:ascii="Times New Roman" w:hAnsi="Times New Roman" w:cs="Times New Roman"/>
          <w:i/>
          <w:iCs/>
          <w:sz w:val="24"/>
          <w:szCs w:val="24"/>
        </w:rPr>
        <w:t>Haemonchus</w:t>
      </w:r>
      <w:r w:rsidRPr="003331DC">
        <w:rPr>
          <w:rFonts w:ascii="Times New Roman" w:hAnsi="Times New Roman" w:cs="Times New Roman"/>
          <w:sz w:val="24"/>
          <w:szCs w:val="24"/>
        </w:rPr>
        <w:t xml:space="preserve"> gut antigen for future experiments. A manuscript describing these results is in preparation.</w:t>
      </w:r>
    </w:p>
    <w:p w14:paraId="3A525571" w14:textId="39A5787D" w:rsidR="009128C9" w:rsidRPr="00792FC6" w:rsidRDefault="009128C9" w:rsidP="009D7E75">
      <w:pPr>
        <w:pStyle w:val="ListParagraph"/>
        <w:numPr>
          <w:ilvl w:val="1"/>
          <w:numId w:val="12"/>
        </w:numPr>
        <w:spacing w:after="0" w:line="240" w:lineRule="auto"/>
        <w:ind w:left="360"/>
        <w:jc w:val="both"/>
        <w:rPr>
          <w:rFonts w:ascii="Times New Roman" w:hAnsi="Times New Roman" w:cs="Times New Roman"/>
          <w:sz w:val="24"/>
          <w:szCs w:val="24"/>
          <w:u w:val="single"/>
        </w:rPr>
      </w:pPr>
      <w:r w:rsidRPr="00792FC6">
        <w:rPr>
          <w:rFonts w:ascii="Times New Roman" w:hAnsi="Times New Roman" w:cs="Times New Roman"/>
          <w:sz w:val="24"/>
          <w:szCs w:val="24"/>
          <w:u w:val="single"/>
        </w:rPr>
        <w:t xml:space="preserve">Figures </w:t>
      </w:r>
    </w:p>
    <w:p w14:paraId="549DD1E1" w14:textId="77777777" w:rsidR="009128C9" w:rsidRPr="003331DC" w:rsidRDefault="009128C9" w:rsidP="00F827B0">
      <w:pPr>
        <w:pStyle w:val="ListParagraph"/>
        <w:spacing w:after="0" w:line="240" w:lineRule="auto"/>
        <w:ind w:left="540"/>
        <w:rPr>
          <w:rFonts w:ascii="Times New Roman" w:hAnsi="Times New Roman" w:cs="Times New Roman"/>
          <w:sz w:val="24"/>
          <w:szCs w:val="24"/>
        </w:rPr>
      </w:pPr>
      <w:r w:rsidRPr="003331DC">
        <w:rPr>
          <w:rFonts w:ascii="Times New Roman" w:hAnsi="Times New Roman" w:cs="Times New Roman"/>
          <w:bCs/>
          <w:sz w:val="24"/>
          <w:szCs w:val="24"/>
        </w:rPr>
        <w:t>Figure 1. Haemonchus contortus vaccine. Adjuvant only (ADJ), soluble vaccine (SOL), implant with dextran adjuvant (DD</w:t>
      </w:r>
      <w:r w:rsidRPr="003331DC">
        <w:rPr>
          <w:rFonts w:ascii="Times New Roman" w:hAnsi="Times New Roman" w:cs="Times New Roman"/>
          <w:sz w:val="24"/>
          <w:szCs w:val="24"/>
        </w:rPr>
        <w:t xml:space="preserve">), or implant with </w:t>
      </w:r>
      <w:proofErr w:type="spellStart"/>
      <w:r w:rsidRPr="003331DC">
        <w:rPr>
          <w:rFonts w:ascii="Times New Roman" w:hAnsi="Times New Roman" w:cs="Times New Roman"/>
          <w:sz w:val="24"/>
          <w:szCs w:val="24"/>
        </w:rPr>
        <w:t>Quil</w:t>
      </w:r>
      <w:proofErr w:type="spellEnd"/>
      <w:r w:rsidRPr="003331DC">
        <w:rPr>
          <w:rFonts w:ascii="Times New Roman" w:hAnsi="Times New Roman" w:cs="Times New Roman"/>
          <w:sz w:val="24"/>
          <w:szCs w:val="24"/>
        </w:rPr>
        <w:t xml:space="preserve"> A adjuvant (DQ).</w:t>
      </w:r>
    </w:p>
    <w:p w14:paraId="45899252" w14:textId="77777777" w:rsidR="009128C9" w:rsidRPr="003331DC" w:rsidRDefault="003526E7" w:rsidP="009D7E75">
      <w:pPr>
        <w:pStyle w:val="ListParagraph"/>
        <w:spacing w:after="0" w:line="240" w:lineRule="auto"/>
        <w:ind w:left="540"/>
        <w:jc w:val="center"/>
        <w:rPr>
          <w:rFonts w:ascii="Times New Roman" w:hAnsi="Times New Roman" w:cs="Times New Roman"/>
          <w:sz w:val="24"/>
          <w:szCs w:val="24"/>
        </w:rPr>
      </w:pPr>
      <w:r w:rsidRPr="003526E7">
        <w:rPr>
          <w:rFonts w:ascii="Times New Roman" w:hAnsi="Times New Roman" w:cs="Times New Roman"/>
          <w:noProof/>
          <w:sz w:val="24"/>
          <w:szCs w:val="24"/>
        </w:rPr>
        <w:object w:dxaOrig="7183" w:dyaOrig="5399" w14:anchorId="189B4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35pt;height:269.5pt;mso-width-percent:0;mso-height-percent:0;mso-width-percent:0;mso-height-percent:0" o:ole="">
            <v:imagedata r:id="rId15" o:title=""/>
          </v:shape>
          <o:OLEObject Type="Embed" ProgID="PowerPoint.Slide.12" ShapeID="_x0000_i1025" DrawAspect="Content" ObjectID="_1652887113" r:id="rId16"/>
        </w:object>
      </w:r>
    </w:p>
    <w:p w14:paraId="3C300F16" w14:textId="77777777" w:rsidR="009128C9" w:rsidRPr="003331DC" w:rsidRDefault="009128C9" w:rsidP="009D7E75">
      <w:pPr>
        <w:pStyle w:val="ListParagraph"/>
        <w:numPr>
          <w:ilvl w:val="0"/>
          <w:numId w:val="12"/>
        </w:numPr>
        <w:spacing w:after="0" w:line="240" w:lineRule="auto"/>
        <w:ind w:left="270"/>
        <w:jc w:val="both"/>
        <w:rPr>
          <w:rFonts w:ascii="Times New Roman" w:hAnsi="Times New Roman" w:cs="Times New Roman"/>
          <w:sz w:val="24"/>
          <w:szCs w:val="24"/>
          <w:u w:val="single"/>
        </w:rPr>
      </w:pPr>
      <w:r w:rsidRPr="003331DC">
        <w:rPr>
          <w:rFonts w:ascii="Times New Roman" w:hAnsi="Times New Roman" w:cs="Times New Roman"/>
          <w:sz w:val="24"/>
          <w:szCs w:val="24"/>
          <w:u w:val="single"/>
        </w:rPr>
        <w:t>Preparation of antigens from three different strains of Corynebacterium pseudotuberculosis</w:t>
      </w:r>
    </w:p>
    <w:p w14:paraId="2AB02623" w14:textId="7D5A2CE3" w:rsidR="0050140C" w:rsidRPr="0050140C" w:rsidRDefault="00792FC6" w:rsidP="009D7E75">
      <w:pPr>
        <w:pStyle w:val="ListParagraph"/>
        <w:numPr>
          <w:ilvl w:val="1"/>
          <w:numId w:val="12"/>
        </w:numPr>
        <w:spacing w:after="0" w:line="240" w:lineRule="auto"/>
        <w:ind w:left="360" w:hanging="450"/>
        <w:jc w:val="both"/>
        <w:rPr>
          <w:rFonts w:ascii="Times New Roman" w:hAnsi="Times New Roman" w:cs="Times New Roman"/>
          <w:sz w:val="24"/>
          <w:szCs w:val="24"/>
        </w:rPr>
      </w:pPr>
      <w:r w:rsidRPr="00792FC6">
        <w:rPr>
          <w:rFonts w:ascii="Times New Roman" w:hAnsi="Times New Roman" w:cs="Times New Roman"/>
          <w:iCs/>
          <w:sz w:val="24"/>
          <w:szCs w:val="24"/>
          <w:u w:val="single"/>
        </w:rPr>
        <w:t>Progress</w:t>
      </w:r>
      <w:r>
        <w:rPr>
          <w:rFonts w:ascii="Times New Roman" w:hAnsi="Times New Roman" w:cs="Times New Roman"/>
          <w:iCs/>
          <w:sz w:val="24"/>
          <w:szCs w:val="24"/>
        </w:rPr>
        <w:t xml:space="preserve">: </w:t>
      </w:r>
      <w:r w:rsidR="009128C9" w:rsidRPr="006C1ABC">
        <w:rPr>
          <w:rFonts w:ascii="Times New Roman" w:hAnsi="Times New Roman" w:cs="Times New Roman"/>
          <w:iCs/>
          <w:sz w:val="24"/>
          <w:szCs w:val="24"/>
        </w:rPr>
        <w:t xml:space="preserve">Study </w:t>
      </w:r>
      <w:r w:rsidR="009128C9" w:rsidRPr="003331DC">
        <w:rPr>
          <w:rFonts w:ascii="Times New Roman" w:hAnsi="Times New Roman" w:cs="Times New Roman"/>
          <w:sz w:val="24"/>
          <w:szCs w:val="24"/>
        </w:rPr>
        <w:t xml:space="preserve">has been completed. Sheep were immunized 3X with each of the antigen preparations and subsequently bled for antibody production. A challenge model in mice has been evaluated at two different dosages and one strain was especially virulent, one strain produced grossly visible lesions but no obvious clinical signs and the third strain produced neither lesions nor clinical signs. </w:t>
      </w:r>
    </w:p>
    <w:p w14:paraId="48D1FA53" w14:textId="77777777" w:rsidR="00F827B0" w:rsidRPr="00F827B0" w:rsidRDefault="00F827B0" w:rsidP="009D7E75">
      <w:pPr>
        <w:ind w:left="-90"/>
        <w:jc w:val="both"/>
        <w:rPr>
          <w:rFonts w:ascii="Times New Roman" w:hAnsi="Times New Roman" w:cs="Times New Roman"/>
        </w:rPr>
      </w:pPr>
    </w:p>
    <w:p w14:paraId="1F9EF625" w14:textId="6021CA02" w:rsidR="0005372F" w:rsidRPr="00143F5D" w:rsidRDefault="0005372F" w:rsidP="009D7E75">
      <w:pPr>
        <w:pStyle w:val="ListParagraph"/>
        <w:numPr>
          <w:ilvl w:val="0"/>
          <w:numId w:val="12"/>
        </w:numPr>
        <w:spacing w:after="0" w:line="240" w:lineRule="auto"/>
        <w:ind w:left="360" w:hanging="446"/>
        <w:jc w:val="both"/>
        <w:rPr>
          <w:rFonts w:ascii="Times New Roman" w:hAnsi="Times New Roman" w:cs="Times New Roman"/>
          <w:sz w:val="24"/>
          <w:szCs w:val="24"/>
          <w:u w:val="single"/>
        </w:rPr>
      </w:pPr>
      <w:r w:rsidRPr="00143F5D">
        <w:rPr>
          <w:rFonts w:ascii="Times New Roman" w:hAnsi="Times New Roman" w:cs="Times New Roman"/>
          <w:sz w:val="24"/>
          <w:szCs w:val="24"/>
          <w:u w:val="single"/>
        </w:rPr>
        <w:t>Target animal safety study for AQUI-S®20E</w:t>
      </w:r>
    </w:p>
    <w:p w14:paraId="0B4FA950" w14:textId="545B818D" w:rsidR="004C6859" w:rsidRPr="00143F5D" w:rsidRDefault="00D45311" w:rsidP="009D7E75">
      <w:pPr>
        <w:pStyle w:val="ListParagraph"/>
        <w:numPr>
          <w:ilvl w:val="1"/>
          <w:numId w:val="12"/>
        </w:numPr>
        <w:spacing w:after="0" w:line="240" w:lineRule="auto"/>
        <w:ind w:left="360" w:hanging="450"/>
        <w:jc w:val="both"/>
        <w:rPr>
          <w:rFonts w:ascii="Times New Roman" w:hAnsi="Times New Roman" w:cs="Times New Roman"/>
          <w:sz w:val="24"/>
          <w:szCs w:val="24"/>
        </w:rPr>
      </w:pPr>
      <w:r w:rsidRPr="00792FC6">
        <w:rPr>
          <w:rFonts w:ascii="Times New Roman" w:hAnsi="Times New Roman" w:cs="Times New Roman"/>
          <w:sz w:val="24"/>
          <w:szCs w:val="24"/>
          <w:u w:val="single"/>
        </w:rPr>
        <w:t>Overview</w:t>
      </w:r>
      <w:r w:rsidRPr="00143F5D">
        <w:rPr>
          <w:rFonts w:ascii="Times New Roman" w:hAnsi="Times New Roman" w:cs="Times New Roman"/>
          <w:sz w:val="24"/>
          <w:szCs w:val="24"/>
        </w:rPr>
        <w:t xml:space="preserve">: This represents one of our newest </w:t>
      </w:r>
      <w:r w:rsidR="00135931" w:rsidRPr="00143F5D">
        <w:rPr>
          <w:rFonts w:ascii="Times New Roman" w:hAnsi="Times New Roman" w:cs="Times New Roman"/>
          <w:sz w:val="24"/>
          <w:szCs w:val="24"/>
        </w:rPr>
        <w:t xml:space="preserve">NIFA </w:t>
      </w:r>
      <w:r w:rsidRPr="00143F5D">
        <w:rPr>
          <w:rFonts w:ascii="Times New Roman" w:hAnsi="Times New Roman" w:cs="Times New Roman"/>
          <w:sz w:val="24"/>
          <w:szCs w:val="24"/>
        </w:rPr>
        <w:t>studies.</w:t>
      </w:r>
      <w:r w:rsidR="006C1ABC">
        <w:rPr>
          <w:rFonts w:ascii="Times New Roman" w:hAnsi="Times New Roman" w:cs="Times New Roman"/>
          <w:sz w:val="24"/>
          <w:szCs w:val="24"/>
        </w:rPr>
        <w:t xml:space="preserve"> </w:t>
      </w:r>
      <w:r w:rsidRPr="00143F5D">
        <w:rPr>
          <w:rFonts w:ascii="Times New Roman" w:hAnsi="Times New Roman" w:cs="Times New Roman"/>
          <w:sz w:val="24"/>
          <w:szCs w:val="24"/>
        </w:rPr>
        <w:t xml:space="preserve"> </w:t>
      </w:r>
      <w:r w:rsidR="00F827B0" w:rsidRPr="00143F5D">
        <w:rPr>
          <w:rFonts w:ascii="Times New Roman" w:hAnsi="Times New Roman" w:cs="Times New Roman"/>
          <w:sz w:val="24"/>
          <w:szCs w:val="24"/>
        </w:rPr>
        <w:t xml:space="preserve"> </w:t>
      </w:r>
    </w:p>
    <w:p w14:paraId="669932F2" w14:textId="58D9C8E8" w:rsidR="0005372F" w:rsidRPr="00143F5D" w:rsidRDefault="00303730" w:rsidP="009D7E75">
      <w:pPr>
        <w:pStyle w:val="ListParagraph"/>
        <w:numPr>
          <w:ilvl w:val="1"/>
          <w:numId w:val="12"/>
        </w:numPr>
        <w:spacing w:after="0" w:line="240" w:lineRule="auto"/>
        <w:ind w:left="360" w:hanging="450"/>
        <w:jc w:val="both"/>
        <w:rPr>
          <w:rFonts w:ascii="Times New Roman" w:hAnsi="Times New Roman" w:cs="Times New Roman"/>
          <w:sz w:val="24"/>
          <w:szCs w:val="24"/>
        </w:rPr>
      </w:pPr>
      <w:r w:rsidRPr="00143F5D">
        <w:rPr>
          <w:rFonts w:ascii="Times New Roman" w:hAnsi="Times New Roman" w:cs="Times New Roman"/>
          <w:sz w:val="24"/>
          <w:szCs w:val="24"/>
        </w:rPr>
        <w:lastRenderedPageBreak/>
        <w:t>M</w:t>
      </w:r>
      <w:r w:rsidRPr="00792FC6">
        <w:rPr>
          <w:rFonts w:ascii="Times New Roman" w:hAnsi="Times New Roman" w:cs="Times New Roman"/>
          <w:sz w:val="24"/>
          <w:szCs w:val="24"/>
          <w:u w:val="single"/>
        </w:rPr>
        <w:t>ethods</w:t>
      </w:r>
      <w:r w:rsidRPr="00143F5D">
        <w:rPr>
          <w:rFonts w:ascii="Times New Roman" w:hAnsi="Times New Roman" w:cs="Times New Roman"/>
          <w:sz w:val="24"/>
          <w:szCs w:val="24"/>
        </w:rPr>
        <w:t xml:space="preserve">: </w:t>
      </w:r>
      <w:r w:rsidR="003331DC" w:rsidRPr="00143F5D">
        <w:rPr>
          <w:rFonts w:ascii="Times New Roman" w:hAnsi="Times New Roman" w:cs="Times New Roman"/>
          <w:sz w:val="24"/>
          <w:szCs w:val="24"/>
        </w:rPr>
        <w:t xml:space="preserve">A target animal safety study will be conducted for the AQUI-S®20E sedative in striped bass and pompano as model species. </w:t>
      </w:r>
    </w:p>
    <w:p w14:paraId="6363AFDE" w14:textId="77777777" w:rsidR="00B16E81" w:rsidRPr="00B16E81" w:rsidRDefault="00B16E81" w:rsidP="009D7E75">
      <w:pPr>
        <w:jc w:val="both"/>
        <w:rPr>
          <w:rFonts w:ascii="Times New Roman" w:hAnsi="Times New Roman" w:cs="Times New Roman"/>
          <w:b/>
          <w:bCs/>
          <w:i/>
          <w:iCs/>
        </w:rPr>
      </w:pPr>
    </w:p>
    <w:p w14:paraId="48834060" w14:textId="1708A09B" w:rsidR="00B16E81" w:rsidRPr="00B16E81" w:rsidRDefault="00B16E81" w:rsidP="009D7E75">
      <w:pPr>
        <w:spacing w:after="120"/>
        <w:jc w:val="both"/>
        <w:rPr>
          <w:rFonts w:ascii="Times New Roman" w:hAnsi="Times New Roman" w:cs="Times New Roman"/>
          <w:b/>
          <w:bCs/>
        </w:rPr>
      </w:pPr>
      <w:r w:rsidRPr="00B16E81">
        <w:rPr>
          <w:rFonts w:ascii="Times New Roman" w:hAnsi="Times New Roman" w:cs="Times New Roman"/>
          <w:b/>
          <w:bCs/>
        </w:rPr>
        <w:t>Estimating Funding Needs for MUADP</w:t>
      </w:r>
    </w:p>
    <w:p w14:paraId="03B75B28" w14:textId="7A6A9C07" w:rsidR="00B16E81" w:rsidRPr="00B16E81" w:rsidRDefault="005C7614" w:rsidP="009D7E75">
      <w:pPr>
        <w:jc w:val="both"/>
        <w:rPr>
          <w:rFonts w:ascii="Times New Roman" w:hAnsi="Times New Roman" w:cs="Times New Roman"/>
          <w:i/>
          <w:iCs/>
        </w:rPr>
      </w:pPr>
      <w:r>
        <w:rPr>
          <w:rFonts w:ascii="Times New Roman" w:hAnsi="Times New Roman" w:cs="Times New Roman"/>
          <w:i/>
          <w:iCs/>
        </w:rPr>
        <w:t>4</w:t>
      </w:r>
      <w:r w:rsidR="00B16E81" w:rsidRPr="00B16E81">
        <w:rPr>
          <w:rFonts w:ascii="Times New Roman" w:hAnsi="Times New Roman" w:cs="Times New Roman"/>
          <w:i/>
          <w:iCs/>
        </w:rPr>
        <w:t>. In conjunction with NIFA and stakeholders, identify a stable funding source to work with the FDA/CVM to facilitate their approval of animal health products and provide information for the safe and efficacious use of these materials in specialty animal species.</w:t>
      </w:r>
    </w:p>
    <w:p w14:paraId="20453003" w14:textId="6A944DA3" w:rsidR="009D7E75" w:rsidRDefault="00B16E81" w:rsidP="009D7E75">
      <w:pPr>
        <w:spacing w:before="120"/>
        <w:ind w:firstLine="630"/>
        <w:jc w:val="both"/>
        <w:rPr>
          <w:rFonts w:ascii="Times New Roman" w:eastAsia="Times New Roman" w:hAnsi="Times New Roman" w:cs="Times New Roman"/>
          <w:color w:val="000000"/>
          <w:sz w:val="22"/>
          <w:szCs w:val="22"/>
        </w:rPr>
      </w:pPr>
      <w:r w:rsidRPr="00B16E81">
        <w:rPr>
          <w:rFonts w:ascii="Times New Roman" w:hAnsi="Times New Roman" w:cs="Times New Roman"/>
        </w:rPr>
        <w:t xml:space="preserve">To identify a stable funding source, it is necessary to accurately ascertain the current costs of performing Efficacy, Target Animal Safety and Human Food Safety studies under Good Laboratory Practices (21 CFR 58) and Good Clinical Practices. These estimates were performed over the past year using historical costs along with estimates from three commercial histopathology laboratories. All studies were assumed to be conducted under Good Laboratory practices. </w:t>
      </w:r>
      <w:r w:rsidRPr="00B16E81">
        <w:rPr>
          <w:rFonts w:ascii="Times New Roman" w:eastAsia="Times New Roman" w:hAnsi="Times New Roman" w:cs="Times New Roman"/>
          <w:color w:val="000000"/>
          <w:sz w:val="22"/>
          <w:szCs w:val="22"/>
        </w:rPr>
        <w:t>From required study length, total animal-days were calculated to estimate in life phase costs of each study. Post study estimate of residue analyses was based on one or two edible tissues per species. Gross and histopathology evaluations were based on 38 tissues required by FDA/CVM. Total direct costs thus estimated were $700,000 per species per drug and would require a research period of five years. Adding</w:t>
      </w:r>
      <w:r w:rsidR="00792FC6">
        <w:rPr>
          <w:rFonts w:ascii="Times New Roman" w:eastAsia="Times New Roman" w:hAnsi="Times New Roman" w:cs="Times New Roman"/>
          <w:color w:val="000000"/>
          <w:sz w:val="22"/>
          <w:szCs w:val="22"/>
        </w:rPr>
        <w:t xml:space="preserve"> the </w:t>
      </w:r>
      <w:r w:rsidRPr="00B16E81">
        <w:rPr>
          <w:rFonts w:ascii="Times New Roman" w:eastAsia="Times New Roman" w:hAnsi="Times New Roman" w:cs="Times New Roman"/>
          <w:color w:val="000000"/>
          <w:sz w:val="22"/>
          <w:szCs w:val="22"/>
        </w:rPr>
        <w:t xml:space="preserve">costing of the Environmental Impact Assessment and one full time associate, the </w:t>
      </w:r>
      <w:r w:rsidR="00792FC6">
        <w:rPr>
          <w:rFonts w:ascii="Times New Roman" w:eastAsia="Times New Roman" w:hAnsi="Times New Roman" w:cs="Times New Roman"/>
          <w:color w:val="000000"/>
          <w:sz w:val="22"/>
          <w:szCs w:val="22"/>
        </w:rPr>
        <w:t>amount needed</w:t>
      </w:r>
      <w:r w:rsidRPr="00B16E81">
        <w:rPr>
          <w:rFonts w:ascii="Times New Roman" w:eastAsia="Times New Roman" w:hAnsi="Times New Roman" w:cs="Times New Roman"/>
          <w:color w:val="000000"/>
          <w:sz w:val="22"/>
          <w:szCs w:val="22"/>
        </w:rPr>
        <w:t xml:space="preserve"> per operational unit is approximately $1 MM for </w:t>
      </w:r>
      <w:r w:rsidR="00792FC6">
        <w:rPr>
          <w:rFonts w:ascii="Times New Roman" w:eastAsia="Times New Roman" w:hAnsi="Times New Roman" w:cs="Times New Roman"/>
          <w:color w:val="000000"/>
          <w:sz w:val="22"/>
          <w:szCs w:val="22"/>
        </w:rPr>
        <w:t xml:space="preserve">the completion of </w:t>
      </w:r>
      <w:r w:rsidRPr="00B16E81">
        <w:rPr>
          <w:rFonts w:ascii="Times New Roman" w:eastAsia="Times New Roman" w:hAnsi="Times New Roman" w:cs="Times New Roman"/>
          <w:color w:val="000000"/>
          <w:sz w:val="22"/>
          <w:szCs w:val="22"/>
        </w:rPr>
        <w:t xml:space="preserve">one abbreviated animal drug approval </w:t>
      </w:r>
      <w:r w:rsidR="009D7E75">
        <w:rPr>
          <w:rFonts w:ascii="Times New Roman" w:eastAsia="Times New Roman" w:hAnsi="Times New Roman" w:cs="Times New Roman"/>
          <w:color w:val="000000"/>
          <w:sz w:val="22"/>
          <w:szCs w:val="22"/>
        </w:rPr>
        <w:t xml:space="preserve">(ANADA) </w:t>
      </w:r>
      <w:r w:rsidRPr="00B16E81">
        <w:rPr>
          <w:rFonts w:ascii="Times New Roman" w:eastAsia="Times New Roman" w:hAnsi="Times New Roman" w:cs="Times New Roman"/>
          <w:color w:val="000000"/>
          <w:sz w:val="22"/>
          <w:szCs w:val="22"/>
        </w:rPr>
        <w:t xml:space="preserve">within five years. </w:t>
      </w:r>
    </w:p>
    <w:p w14:paraId="346CA08F" w14:textId="637CD08F" w:rsidR="00B16E81" w:rsidRPr="00B16E81" w:rsidRDefault="009D7E75" w:rsidP="009D7E75">
      <w:pPr>
        <w:spacing w:before="120"/>
        <w:ind w:firstLine="630"/>
        <w:jc w:val="both"/>
        <w:rPr>
          <w:rFonts w:ascii="Times New Roman" w:hAnsi="Times New Roman" w:cs="Times New Roman"/>
          <w:sz w:val="22"/>
          <w:szCs w:val="22"/>
        </w:rPr>
      </w:pPr>
      <w:r>
        <w:rPr>
          <w:rFonts w:ascii="Times New Roman" w:hAnsi="Times New Roman" w:cs="Times New Roman"/>
          <w:bCs/>
        </w:rPr>
        <w:t xml:space="preserve">Various structures are currently under examination to address stakeholder expectations and support. </w:t>
      </w:r>
    </w:p>
    <w:p w14:paraId="25868D48" w14:textId="0337E4BB" w:rsidR="00F827B0" w:rsidRPr="00AD46B9" w:rsidRDefault="00F827B0" w:rsidP="009D7E75">
      <w:pPr>
        <w:spacing w:before="240"/>
        <w:jc w:val="both"/>
        <w:rPr>
          <w:rFonts w:ascii="Times New Roman" w:hAnsi="Times New Roman" w:cs="Times New Roman"/>
          <w:b/>
          <w:bCs/>
        </w:rPr>
      </w:pPr>
      <w:r w:rsidRPr="00AD46B9">
        <w:rPr>
          <w:rFonts w:ascii="Times New Roman" w:hAnsi="Times New Roman" w:cs="Times New Roman"/>
          <w:b/>
          <w:bCs/>
        </w:rPr>
        <w:t>Grant Applications</w:t>
      </w:r>
    </w:p>
    <w:p w14:paraId="65CE4EB7" w14:textId="77777777" w:rsidR="00143F5D" w:rsidRDefault="00135931" w:rsidP="009D7E75">
      <w:pPr>
        <w:ind w:firstLine="720"/>
        <w:jc w:val="both"/>
        <w:rPr>
          <w:rFonts w:ascii="Times New Roman" w:hAnsi="Times New Roman" w:cs="Times New Roman"/>
        </w:rPr>
      </w:pPr>
      <w:r w:rsidRPr="00135931">
        <w:rPr>
          <w:rFonts w:ascii="Times New Roman" w:hAnsi="Times New Roman" w:cs="Times New Roman"/>
          <w:u w:val="single"/>
        </w:rPr>
        <w:t>Description</w:t>
      </w:r>
      <w:r>
        <w:rPr>
          <w:rFonts w:ascii="Times New Roman" w:hAnsi="Times New Roman" w:cs="Times New Roman"/>
        </w:rPr>
        <w:t xml:space="preserve">: </w:t>
      </w:r>
      <w:r w:rsidRPr="00135931">
        <w:rPr>
          <w:rFonts w:ascii="Times New Roman" w:hAnsi="Times New Roman" w:cs="Times New Roman"/>
        </w:rPr>
        <w:t>USDA-NIFA-AFRI-Funding Opportunity Number 007052 in the animal health program area under “</w:t>
      </w:r>
      <w:r w:rsidRPr="00135931">
        <w:rPr>
          <w:rFonts w:ascii="Times New Roman" w:hAnsi="Times New Roman" w:cs="Times New Roman"/>
          <w:b/>
          <w:bCs/>
        </w:rPr>
        <w:t>Therapeutic interventions for disease reduction or treatment.”</w:t>
      </w:r>
      <w:r w:rsidRPr="00135931">
        <w:rPr>
          <w:rFonts w:ascii="Times New Roman" w:hAnsi="Times New Roman" w:cs="Times New Roman"/>
        </w:rPr>
        <w:t xml:space="preserve"> </w:t>
      </w:r>
    </w:p>
    <w:p w14:paraId="20049A5B" w14:textId="6DE47762" w:rsidR="00135931" w:rsidRDefault="00143F5D" w:rsidP="009D7E75">
      <w:pPr>
        <w:ind w:firstLine="720"/>
        <w:jc w:val="both"/>
        <w:rPr>
          <w:rFonts w:ascii="Times New Roman" w:hAnsi="Times New Roman" w:cs="Times New Roman"/>
        </w:rPr>
      </w:pPr>
      <w:r w:rsidRPr="00143F5D">
        <w:rPr>
          <w:rFonts w:ascii="Times New Roman" w:hAnsi="Times New Roman" w:cs="Times New Roman"/>
          <w:u w:val="single"/>
        </w:rPr>
        <w:t>Institution:</w:t>
      </w:r>
      <w:r>
        <w:rPr>
          <w:rFonts w:ascii="Times New Roman" w:hAnsi="Times New Roman" w:cs="Times New Roman"/>
        </w:rPr>
        <w:t xml:space="preserve"> </w:t>
      </w:r>
      <w:r w:rsidR="00135931" w:rsidRPr="00135931">
        <w:rPr>
          <w:rFonts w:ascii="Times New Roman" w:hAnsi="Times New Roman" w:cs="Times New Roman"/>
        </w:rPr>
        <w:t xml:space="preserve">Researchers within the Cornell University Aquatic Animal Health Program and USFWS Aquatic Animal Drug Approval Partnership (AADAP) program are proposing to continue a collaboration to conduct studies to increase the number of safe and effective drugs that can be used to benefit the U.S. aquaculture community. </w:t>
      </w:r>
    </w:p>
    <w:p w14:paraId="47361601" w14:textId="1784A5A7" w:rsidR="00F827B0" w:rsidRDefault="00135931" w:rsidP="009D7E75">
      <w:pPr>
        <w:ind w:firstLine="720"/>
        <w:jc w:val="both"/>
        <w:rPr>
          <w:rFonts w:ascii="Times New Roman" w:hAnsi="Times New Roman" w:cs="Times New Roman"/>
        </w:rPr>
      </w:pPr>
      <w:r w:rsidRPr="00135931">
        <w:rPr>
          <w:rFonts w:ascii="Times New Roman" w:hAnsi="Times New Roman" w:cs="Times New Roman"/>
          <w:u w:val="single"/>
        </w:rPr>
        <w:t>Scope of Work:</w:t>
      </w:r>
      <w:r>
        <w:rPr>
          <w:rFonts w:ascii="Times New Roman" w:hAnsi="Times New Roman" w:cs="Times New Roman"/>
        </w:rPr>
        <w:t xml:space="preserve"> </w:t>
      </w:r>
      <w:r w:rsidRPr="00135931">
        <w:rPr>
          <w:rFonts w:ascii="Times New Roman" w:hAnsi="Times New Roman" w:cs="Times New Roman"/>
        </w:rPr>
        <w:t>Trials will be conducted with Florfenicol (AQUAFLOR®), Oxytetracycline (TM200), and Hydrogen peroxide (</w:t>
      </w:r>
      <w:proofErr w:type="spellStart"/>
      <w:r w:rsidRPr="00135931">
        <w:rPr>
          <w:rFonts w:ascii="Times New Roman" w:hAnsi="Times New Roman" w:cs="Times New Roman"/>
        </w:rPr>
        <w:t>Perox</w:t>
      </w:r>
      <w:proofErr w:type="spellEnd"/>
      <w:r w:rsidRPr="00135931">
        <w:rPr>
          <w:rFonts w:ascii="Times New Roman" w:hAnsi="Times New Roman" w:cs="Times New Roman"/>
        </w:rPr>
        <w:t>-Aid®), which are used to treat diseases and parasites of fish.</w:t>
      </w:r>
    </w:p>
    <w:p w14:paraId="56D3A67F" w14:textId="732F3F0D" w:rsidR="00135931" w:rsidRDefault="00135931" w:rsidP="009D7E75">
      <w:pPr>
        <w:ind w:firstLine="720"/>
        <w:jc w:val="both"/>
        <w:rPr>
          <w:rFonts w:ascii="Times New Roman" w:hAnsi="Times New Roman" w:cs="Times New Roman"/>
        </w:rPr>
      </w:pPr>
      <w:r w:rsidRPr="00135931">
        <w:rPr>
          <w:rFonts w:ascii="Times New Roman" w:hAnsi="Times New Roman" w:cs="Times New Roman"/>
          <w:u w:val="single"/>
        </w:rPr>
        <w:t>Budget:</w:t>
      </w:r>
      <w:r>
        <w:rPr>
          <w:rFonts w:ascii="Times New Roman" w:hAnsi="Times New Roman" w:cs="Times New Roman"/>
        </w:rPr>
        <w:t xml:space="preserve"> $200,000 for one year including $60,000 indirect costs</w:t>
      </w:r>
    </w:p>
    <w:p w14:paraId="18CC5E4B" w14:textId="7BDF62ED" w:rsidR="002B3F1E" w:rsidRPr="00AD46B9" w:rsidRDefault="00E4221C" w:rsidP="009D7E75">
      <w:pPr>
        <w:spacing w:before="240"/>
        <w:jc w:val="both"/>
        <w:rPr>
          <w:rFonts w:ascii="Times New Roman" w:hAnsi="Times New Roman" w:cs="Times New Roman"/>
          <w:b/>
          <w:bCs/>
        </w:rPr>
      </w:pPr>
      <w:r w:rsidRPr="00AD46B9">
        <w:rPr>
          <w:rFonts w:ascii="Times New Roman" w:hAnsi="Times New Roman" w:cs="Times New Roman"/>
          <w:b/>
          <w:bCs/>
        </w:rPr>
        <w:t>Presentations and Publications</w:t>
      </w:r>
    </w:p>
    <w:p w14:paraId="71D999E8" w14:textId="7CD5E7FA" w:rsidR="00E4221C" w:rsidRDefault="006C2075" w:rsidP="009D7E75">
      <w:pPr>
        <w:spacing w:before="120"/>
        <w:jc w:val="both"/>
        <w:rPr>
          <w:rFonts w:ascii="Times New Roman" w:hAnsi="Times New Roman" w:cs="Times New Roman"/>
        </w:rPr>
      </w:pPr>
      <w:r w:rsidRPr="006C2075">
        <w:rPr>
          <w:rFonts w:ascii="Times New Roman" w:hAnsi="Times New Roman" w:cs="Times New Roman"/>
        </w:rPr>
        <w:t>Smith</w:t>
      </w:r>
      <w:r>
        <w:rPr>
          <w:rFonts w:ascii="Times New Roman" w:hAnsi="Times New Roman" w:cs="Times New Roman"/>
        </w:rPr>
        <w:t xml:space="preserve">, </w:t>
      </w:r>
      <w:r w:rsidR="00D402C1">
        <w:rPr>
          <w:rFonts w:ascii="Times New Roman" w:hAnsi="Times New Roman" w:cs="Times New Roman"/>
        </w:rPr>
        <w:t xml:space="preserve">J.S., </w:t>
      </w:r>
      <w:proofErr w:type="spellStart"/>
      <w:r w:rsidRPr="006C2075">
        <w:rPr>
          <w:rFonts w:ascii="Times New Roman" w:hAnsi="Times New Roman" w:cs="Times New Roman"/>
        </w:rPr>
        <w:t>Mochel</w:t>
      </w:r>
      <w:proofErr w:type="spellEnd"/>
      <w:r w:rsidR="00D402C1">
        <w:rPr>
          <w:rFonts w:ascii="Times New Roman" w:hAnsi="Times New Roman" w:cs="Times New Roman"/>
        </w:rPr>
        <w:t xml:space="preserve">, J.P., </w:t>
      </w:r>
      <w:proofErr w:type="spellStart"/>
      <w:r w:rsidRPr="006C2075">
        <w:rPr>
          <w:rFonts w:ascii="Times New Roman" w:hAnsi="Times New Roman" w:cs="Times New Roman"/>
        </w:rPr>
        <w:t>Seo</w:t>
      </w:r>
      <w:proofErr w:type="spellEnd"/>
      <w:r w:rsidR="00D402C1">
        <w:rPr>
          <w:rFonts w:ascii="Times New Roman" w:hAnsi="Times New Roman" w:cs="Times New Roman"/>
        </w:rPr>
        <w:t xml:space="preserve">, Y.J., </w:t>
      </w:r>
      <w:r w:rsidRPr="006C2075">
        <w:rPr>
          <w:rFonts w:ascii="Times New Roman" w:hAnsi="Times New Roman" w:cs="Times New Roman"/>
        </w:rPr>
        <w:t>Ahrens</w:t>
      </w:r>
      <w:r w:rsidR="00D402C1">
        <w:rPr>
          <w:rFonts w:ascii="Times New Roman" w:hAnsi="Times New Roman" w:cs="Times New Roman"/>
        </w:rPr>
        <w:t>, A.P.</w:t>
      </w:r>
      <w:r w:rsidRPr="006C2075">
        <w:rPr>
          <w:rFonts w:ascii="Times New Roman" w:hAnsi="Times New Roman" w:cs="Times New Roman"/>
        </w:rPr>
        <w:t xml:space="preserve"> and Griffith</w:t>
      </w:r>
      <w:r w:rsidR="00D402C1">
        <w:rPr>
          <w:rFonts w:ascii="Times New Roman" w:hAnsi="Times New Roman" w:cs="Times New Roman"/>
        </w:rPr>
        <w:t>, R.W.</w:t>
      </w:r>
      <w:r w:rsidR="00CF4405">
        <w:rPr>
          <w:rFonts w:ascii="Times New Roman" w:hAnsi="Times New Roman" w:cs="Times New Roman"/>
        </w:rPr>
        <w:t xml:space="preserve"> 2020 </w:t>
      </w:r>
      <w:r w:rsidR="00CF4405" w:rsidRPr="00CF4405">
        <w:rPr>
          <w:rFonts w:ascii="Times New Roman" w:hAnsi="Times New Roman" w:cs="Times New Roman"/>
        </w:rPr>
        <w:t xml:space="preserve">Preliminary evaluation of a repeated administration </w:t>
      </w:r>
      <w:r w:rsidR="00CF4405" w:rsidRPr="00412903">
        <w:rPr>
          <w:rFonts w:ascii="Times New Roman" w:hAnsi="Times New Roman" w:cs="Times New Roman"/>
          <w:i/>
          <w:iCs/>
        </w:rPr>
        <w:t>Pasteurella multocida</w:t>
      </w:r>
      <w:r w:rsidR="00CF4405" w:rsidRPr="00CF4405">
        <w:rPr>
          <w:rFonts w:ascii="Times New Roman" w:hAnsi="Times New Roman" w:cs="Times New Roman"/>
        </w:rPr>
        <w:t xml:space="preserve"> respiratory disease induction method for goats</w:t>
      </w:r>
      <w:r w:rsidR="00CF4405">
        <w:rPr>
          <w:rFonts w:ascii="Times New Roman" w:hAnsi="Times New Roman" w:cs="Times New Roman"/>
        </w:rPr>
        <w:t>.</w:t>
      </w:r>
      <w:r w:rsidR="00C85DAD" w:rsidRPr="00C85DAD">
        <w:t xml:space="preserve"> </w:t>
      </w:r>
      <w:r w:rsidR="00C85DAD" w:rsidRPr="00C85DAD">
        <w:rPr>
          <w:rFonts w:ascii="Times New Roman" w:hAnsi="Times New Roman" w:cs="Times New Roman"/>
        </w:rPr>
        <w:t>Comparative Medicine</w:t>
      </w:r>
      <w:r w:rsidR="00C85DAD">
        <w:rPr>
          <w:rFonts w:ascii="Times New Roman" w:hAnsi="Times New Roman" w:cs="Times New Roman"/>
        </w:rPr>
        <w:t xml:space="preserve"> (In Press)</w:t>
      </w:r>
      <w:r w:rsidR="004F24FC">
        <w:rPr>
          <w:rFonts w:ascii="Times New Roman" w:hAnsi="Times New Roman" w:cs="Times New Roman"/>
        </w:rPr>
        <w:t xml:space="preserve"> </w:t>
      </w:r>
    </w:p>
    <w:p w14:paraId="5046C1EF" w14:textId="7DC9421A" w:rsidR="004F24FC" w:rsidRPr="004F24FC" w:rsidRDefault="004F24FC" w:rsidP="009D7E75">
      <w:pPr>
        <w:spacing w:before="120"/>
        <w:jc w:val="both"/>
        <w:rPr>
          <w:rFonts w:ascii="Times New Roman" w:hAnsi="Times New Roman" w:cs="Times New Roman"/>
        </w:rPr>
      </w:pPr>
      <w:r w:rsidRPr="004F24FC">
        <w:rPr>
          <w:rFonts w:ascii="Times New Roman" w:hAnsi="Times New Roman" w:cs="Times New Roman"/>
        </w:rPr>
        <w:t xml:space="preserve">Yaeger, </w:t>
      </w:r>
      <w:r>
        <w:rPr>
          <w:rFonts w:ascii="Times New Roman" w:hAnsi="Times New Roman" w:cs="Times New Roman"/>
        </w:rPr>
        <w:t xml:space="preserve">M. J., </w:t>
      </w:r>
      <w:proofErr w:type="spellStart"/>
      <w:r w:rsidRPr="004F24FC">
        <w:rPr>
          <w:rFonts w:ascii="Times New Roman" w:hAnsi="Times New Roman" w:cs="Times New Roman"/>
        </w:rPr>
        <w:t>Mochel</w:t>
      </w:r>
      <w:proofErr w:type="spellEnd"/>
      <w:r w:rsidRPr="004F24FC">
        <w:rPr>
          <w:rFonts w:ascii="Times New Roman" w:hAnsi="Times New Roman" w:cs="Times New Roman"/>
        </w:rPr>
        <w:t xml:space="preserve">, </w:t>
      </w:r>
      <w:r w:rsidR="00DA537F">
        <w:rPr>
          <w:rFonts w:ascii="Times New Roman" w:hAnsi="Times New Roman" w:cs="Times New Roman"/>
        </w:rPr>
        <w:t xml:space="preserve">J. P., </w:t>
      </w:r>
      <w:r w:rsidRPr="004F24FC">
        <w:rPr>
          <w:rFonts w:ascii="Times New Roman" w:hAnsi="Times New Roman" w:cs="Times New Roman"/>
        </w:rPr>
        <w:t>Wu,</w:t>
      </w:r>
      <w:r w:rsidR="00DA537F">
        <w:rPr>
          <w:rFonts w:ascii="Times New Roman" w:hAnsi="Times New Roman" w:cs="Times New Roman"/>
        </w:rPr>
        <w:t xml:space="preserve"> </w:t>
      </w:r>
      <w:r w:rsidR="00095CCD">
        <w:rPr>
          <w:rFonts w:ascii="Times New Roman" w:hAnsi="Times New Roman" w:cs="Times New Roman"/>
        </w:rPr>
        <w:t>Z.,</w:t>
      </w:r>
      <w:r w:rsidRPr="004F24FC">
        <w:rPr>
          <w:rFonts w:ascii="Times New Roman" w:hAnsi="Times New Roman" w:cs="Times New Roman"/>
        </w:rPr>
        <w:t xml:space="preserve"> Plummer, </w:t>
      </w:r>
      <w:proofErr w:type="gramStart"/>
      <w:r w:rsidR="00095CCD">
        <w:rPr>
          <w:rFonts w:ascii="Times New Roman" w:hAnsi="Times New Roman" w:cs="Times New Roman"/>
        </w:rPr>
        <w:t>P..</w:t>
      </w:r>
      <w:proofErr w:type="gramEnd"/>
      <w:r w:rsidR="00095CCD">
        <w:rPr>
          <w:rFonts w:ascii="Times New Roman" w:hAnsi="Times New Roman" w:cs="Times New Roman"/>
        </w:rPr>
        <w:t xml:space="preserve"> </w:t>
      </w:r>
      <w:proofErr w:type="spellStart"/>
      <w:r w:rsidRPr="004F24FC">
        <w:rPr>
          <w:rFonts w:ascii="Times New Roman" w:hAnsi="Times New Roman" w:cs="Times New Roman"/>
        </w:rPr>
        <w:t>Sahin</w:t>
      </w:r>
      <w:proofErr w:type="spellEnd"/>
      <w:r w:rsidRPr="004F24FC">
        <w:rPr>
          <w:rFonts w:ascii="Times New Roman" w:hAnsi="Times New Roman" w:cs="Times New Roman"/>
        </w:rPr>
        <w:t xml:space="preserve">, </w:t>
      </w:r>
      <w:r w:rsidR="00095CCD">
        <w:rPr>
          <w:rFonts w:ascii="Times New Roman" w:hAnsi="Times New Roman" w:cs="Times New Roman"/>
        </w:rPr>
        <w:t xml:space="preserve">O., </w:t>
      </w:r>
      <w:proofErr w:type="spellStart"/>
      <w:r w:rsidRPr="004F24FC">
        <w:rPr>
          <w:rFonts w:ascii="Times New Roman" w:hAnsi="Times New Roman" w:cs="Times New Roman"/>
        </w:rPr>
        <w:t>Beyi</w:t>
      </w:r>
      <w:proofErr w:type="spellEnd"/>
      <w:r w:rsidRPr="004F24FC">
        <w:rPr>
          <w:rFonts w:ascii="Times New Roman" w:hAnsi="Times New Roman" w:cs="Times New Roman"/>
        </w:rPr>
        <w:t xml:space="preserve">, </w:t>
      </w:r>
      <w:r w:rsidR="00095CCD">
        <w:rPr>
          <w:rFonts w:ascii="Times New Roman" w:hAnsi="Times New Roman" w:cs="Times New Roman"/>
        </w:rPr>
        <w:t xml:space="preserve">A.F., </w:t>
      </w:r>
      <w:r w:rsidRPr="004F24FC">
        <w:rPr>
          <w:rFonts w:ascii="Times New Roman" w:hAnsi="Times New Roman" w:cs="Times New Roman"/>
        </w:rPr>
        <w:t xml:space="preserve">Xu, </w:t>
      </w:r>
      <w:r>
        <w:rPr>
          <w:rFonts w:ascii="Times New Roman" w:hAnsi="Times New Roman" w:cs="Times New Roman"/>
        </w:rPr>
        <w:t xml:space="preserve">C., </w:t>
      </w:r>
      <w:r w:rsidRPr="004F24FC">
        <w:rPr>
          <w:rFonts w:ascii="Times New Roman" w:hAnsi="Times New Roman" w:cs="Times New Roman"/>
        </w:rPr>
        <w:t>Zhang</w:t>
      </w:r>
      <w:r>
        <w:rPr>
          <w:rFonts w:ascii="Times New Roman" w:hAnsi="Times New Roman" w:cs="Times New Roman"/>
        </w:rPr>
        <w:t>, Q.,</w:t>
      </w:r>
      <w:r w:rsidRPr="004F24FC">
        <w:rPr>
          <w:rFonts w:ascii="Times New Roman" w:hAnsi="Times New Roman" w:cs="Times New Roman"/>
        </w:rPr>
        <w:t xml:space="preserve"> and Griffith</w:t>
      </w:r>
      <w:r>
        <w:rPr>
          <w:rFonts w:ascii="Times New Roman" w:hAnsi="Times New Roman" w:cs="Times New Roman"/>
        </w:rPr>
        <w:t xml:space="preserve">, R. 2020. </w:t>
      </w:r>
      <w:r w:rsidRPr="004F24FC">
        <w:rPr>
          <w:rFonts w:ascii="Times New Roman" w:hAnsi="Times New Roman" w:cs="Times New Roman"/>
        </w:rPr>
        <w:t xml:space="preserve">Pharmacokinetics of Tulathromycin in Pregnant Ewes Challenged with </w:t>
      </w:r>
      <w:r w:rsidRPr="00412903">
        <w:rPr>
          <w:rFonts w:ascii="Times New Roman" w:hAnsi="Times New Roman" w:cs="Times New Roman"/>
          <w:i/>
          <w:iCs/>
        </w:rPr>
        <w:t xml:space="preserve">Campylobacter </w:t>
      </w:r>
      <w:proofErr w:type="spellStart"/>
      <w:r w:rsidRPr="00412903">
        <w:rPr>
          <w:rFonts w:ascii="Times New Roman" w:hAnsi="Times New Roman" w:cs="Times New Roman"/>
          <w:i/>
          <w:iCs/>
        </w:rPr>
        <w:t>jejuni</w:t>
      </w:r>
      <w:proofErr w:type="spellEnd"/>
      <w:r>
        <w:rPr>
          <w:rFonts w:ascii="Times New Roman" w:hAnsi="Times New Roman" w:cs="Times New Roman"/>
        </w:rPr>
        <w:t xml:space="preserve">. </w:t>
      </w:r>
      <w:r w:rsidR="00412903" w:rsidRPr="00412903">
        <w:rPr>
          <w:rFonts w:ascii="Times New Roman" w:hAnsi="Times New Roman" w:cs="Times New Roman"/>
        </w:rPr>
        <w:t>Frontiers in Veterinary Science</w:t>
      </w:r>
      <w:r w:rsidR="00412903" w:rsidRPr="004F24FC">
        <w:rPr>
          <w:rFonts w:ascii="Times New Roman" w:hAnsi="Times New Roman" w:cs="Times New Roman"/>
        </w:rPr>
        <w:t>, section Veterinary Pharmacology and Toxicology</w:t>
      </w:r>
      <w:r w:rsidR="00412903">
        <w:rPr>
          <w:rFonts w:ascii="Times New Roman" w:hAnsi="Times New Roman" w:cs="Times New Roman"/>
        </w:rPr>
        <w:t xml:space="preserve"> (Submitted). </w:t>
      </w:r>
    </w:p>
    <w:p w14:paraId="2E482B4F" w14:textId="4FEB0FB3" w:rsidR="008F2F4A" w:rsidRPr="008F2F4A" w:rsidRDefault="00095CCD" w:rsidP="009D7E75">
      <w:pPr>
        <w:spacing w:before="120"/>
        <w:jc w:val="both"/>
        <w:rPr>
          <w:rFonts w:ascii="Times New Roman" w:eastAsia="Times New Roman" w:hAnsi="Times New Roman" w:cs="Times New Roman"/>
        </w:rPr>
      </w:pPr>
      <w:r w:rsidRPr="004F24FC">
        <w:rPr>
          <w:rFonts w:ascii="Times New Roman" w:hAnsi="Times New Roman" w:cs="Times New Roman"/>
        </w:rPr>
        <w:t xml:space="preserve">Yaeger, </w:t>
      </w:r>
      <w:r>
        <w:rPr>
          <w:rFonts w:ascii="Times New Roman" w:hAnsi="Times New Roman" w:cs="Times New Roman"/>
        </w:rPr>
        <w:t xml:space="preserve">M. J., </w:t>
      </w:r>
      <w:proofErr w:type="spellStart"/>
      <w:r w:rsidRPr="004F24FC">
        <w:rPr>
          <w:rFonts w:ascii="Times New Roman" w:hAnsi="Times New Roman" w:cs="Times New Roman"/>
        </w:rPr>
        <w:t>Mochel</w:t>
      </w:r>
      <w:proofErr w:type="spellEnd"/>
      <w:r w:rsidRPr="004F24FC">
        <w:rPr>
          <w:rFonts w:ascii="Times New Roman" w:hAnsi="Times New Roman" w:cs="Times New Roman"/>
        </w:rPr>
        <w:t xml:space="preserve">, </w:t>
      </w:r>
      <w:r>
        <w:rPr>
          <w:rFonts w:ascii="Times New Roman" w:hAnsi="Times New Roman" w:cs="Times New Roman"/>
        </w:rPr>
        <w:t xml:space="preserve">J. P., </w:t>
      </w:r>
      <w:r w:rsidRPr="004F24FC">
        <w:rPr>
          <w:rFonts w:ascii="Times New Roman" w:hAnsi="Times New Roman" w:cs="Times New Roman"/>
        </w:rPr>
        <w:t>Wu,</w:t>
      </w:r>
      <w:r>
        <w:rPr>
          <w:rFonts w:ascii="Times New Roman" w:hAnsi="Times New Roman" w:cs="Times New Roman"/>
        </w:rPr>
        <w:t xml:space="preserve"> Z.,</w:t>
      </w:r>
      <w:r w:rsidRPr="004F24FC">
        <w:rPr>
          <w:rFonts w:ascii="Times New Roman" w:hAnsi="Times New Roman" w:cs="Times New Roman"/>
        </w:rPr>
        <w:t xml:space="preserve"> Plummer, </w:t>
      </w:r>
      <w:proofErr w:type="gramStart"/>
      <w:r>
        <w:rPr>
          <w:rFonts w:ascii="Times New Roman" w:hAnsi="Times New Roman" w:cs="Times New Roman"/>
        </w:rPr>
        <w:t>P..</w:t>
      </w:r>
      <w:proofErr w:type="gramEnd"/>
      <w:r>
        <w:rPr>
          <w:rFonts w:ascii="Times New Roman" w:hAnsi="Times New Roman" w:cs="Times New Roman"/>
        </w:rPr>
        <w:t xml:space="preserve"> </w:t>
      </w:r>
      <w:proofErr w:type="spellStart"/>
      <w:r w:rsidRPr="004F24FC">
        <w:rPr>
          <w:rFonts w:ascii="Times New Roman" w:hAnsi="Times New Roman" w:cs="Times New Roman"/>
        </w:rPr>
        <w:t>Sahin</w:t>
      </w:r>
      <w:proofErr w:type="spellEnd"/>
      <w:r w:rsidRPr="004F24FC">
        <w:rPr>
          <w:rFonts w:ascii="Times New Roman" w:hAnsi="Times New Roman" w:cs="Times New Roman"/>
        </w:rPr>
        <w:t xml:space="preserve">, </w:t>
      </w:r>
      <w:r>
        <w:rPr>
          <w:rFonts w:ascii="Times New Roman" w:hAnsi="Times New Roman" w:cs="Times New Roman"/>
        </w:rPr>
        <w:t xml:space="preserve">O., </w:t>
      </w:r>
      <w:proofErr w:type="spellStart"/>
      <w:r w:rsidRPr="004F24FC">
        <w:rPr>
          <w:rFonts w:ascii="Times New Roman" w:hAnsi="Times New Roman" w:cs="Times New Roman"/>
        </w:rPr>
        <w:t>Beyi</w:t>
      </w:r>
      <w:proofErr w:type="spellEnd"/>
      <w:r w:rsidRPr="004F24FC">
        <w:rPr>
          <w:rFonts w:ascii="Times New Roman" w:hAnsi="Times New Roman" w:cs="Times New Roman"/>
        </w:rPr>
        <w:t xml:space="preserve">, </w:t>
      </w:r>
      <w:r>
        <w:rPr>
          <w:rFonts w:ascii="Times New Roman" w:hAnsi="Times New Roman" w:cs="Times New Roman"/>
        </w:rPr>
        <w:t xml:space="preserve">A.F., </w:t>
      </w:r>
      <w:r w:rsidRPr="004F24FC">
        <w:rPr>
          <w:rFonts w:ascii="Times New Roman" w:hAnsi="Times New Roman" w:cs="Times New Roman"/>
        </w:rPr>
        <w:t xml:space="preserve">Xu, </w:t>
      </w:r>
      <w:r>
        <w:rPr>
          <w:rFonts w:ascii="Times New Roman" w:hAnsi="Times New Roman" w:cs="Times New Roman"/>
        </w:rPr>
        <w:t xml:space="preserve">C., </w:t>
      </w:r>
      <w:r w:rsidRPr="004F24FC">
        <w:rPr>
          <w:rFonts w:ascii="Times New Roman" w:hAnsi="Times New Roman" w:cs="Times New Roman"/>
        </w:rPr>
        <w:t>Zhang</w:t>
      </w:r>
      <w:r>
        <w:rPr>
          <w:rFonts w:ascii="Times New Roman" w:hAnsi="Times New Roman" w:cs="Times New Roman"/>
        </w:rPr>
        <w:t>, Q.,</w:t>
      </w:r>
      <w:r w:rsidRPr="004F24FC">
        <w:rPr>
          <w:rFonts w:ascii="Times New Roman" w:hAnsi="Times New Roman" w:cs="Times New Roman"/>
        </w:rPr>
        <w:t xml:space="preserve"> and Griffith</w:t>
      </w:r>
      <w:r>
        <w:rPr>
          <w:rFonts w:ascii="Times New Roman" w:hAnsi="Times New Roman" w:cs="Times New Roman"/>
        </w:rPr>
        <w:t xml:space="preserve">, R. 2019 </w:t>
      </w:r>
      <w:r w:rsidR="00DA537F">
        <w:rPr>
          <w:rFonts w:ascii="Times New Roman" w:eastAsia="Times New Roman" w:hAnsi="Times New Roman" w:cs="Times New Roman"/>
        </w:rPr>
        <w:t>P</w:t>
      </w:r>
      <w:r w:rsidR="00DA537F" w:rsidRPr="00DA537F">
        <w:rPr>
          <w:rFonts w:ascii="Times New Roman" w:eastAsia="Times New Roman" w:hAnsi="Times New Roman" w:cs="Times New Roman"/>
        </w:rPr>
        <w:t xml:space="preserve">harmacokinetics of </w:t>
      </w:r>
      <w:r w:rsidR="00DA537F" w:rsidRPr="004F24FC">
        <w:rPr>
          <w:rFonts w:ascii="Times New Roman" w:hAnsi="Times New Roman" w:cs="Times New Roman"/>
        </w:rPr>
        <w:t xml:space="preserve">Tulathromycin </w:t>
      </w:r>
      <w:r w:rsidR="00DA537F" w:rsidRPr="00DA537F">
        <w:rPr>
          <w:rFonts w:ascii="Times New Roman" w:eastAsia="Times New Roman" w:hAnsi="Times New Roman" w:cs="Times New Roman"/>
        </w:rPr>
        <w:t>in infected vs uninfected goats</w:t>
      </w:r>
      <w:r>
        <w:rPr>
          <w:rFonts w:ascii="Times New Roman" w:eastAsia="Times New Roman" w:hAnsi="Times New Roman" w:cs="Times New Roman"/>
        </w:rPr>
        <w:t>.</w:t>
      </w:r>
      <w:r w:rsidR="00DA537F">
        <w:rPr>
          <w:rFonts w:ascii="Times New Roman" w:eastAsia="Times New Roman" w:hAnsi="Times New Roman" w:cs="Times New Roman"/>
        </w:rPr>
        <w:t xml:space="preserve"> </w:t>
      </w:r>
      <w:r w:rsidR="008F2F4A" w:rsidRPr="008F2F4A">
        <w:rPr>
          <w:rFonts w:ascii="Times New Roman" w:eastAsia="Times New Roman" w:hAnsi="Times New Roman" w:cs="Times New Roman"/>
        </w:rPr>
        <w:t>ACVIM meeting</w:t>
      </w:r>
      <w:r w:rsidR="008F2F4A">
        <w:rPr>
          <w:rFonts w:ascii="Times New Roman" w:eastAsia="Times New Roman" w:hAnsi="Times New Roman" w:cs="Times New Roman"/>
        </w:rPr>
        <w:t xml:space="preserve"> (</w:t>
      </w:r>
      <w:r w:rsidR="008F2F4A" w:rsidRPr="008F2F4A">
        <w:rPr>
          <w:rFonts w:ascii="Times New Roman" w:eastAsia="Times New Roman" w:hAnsi="Times New Roman" w:cs="Times New Roman"/>
        </w:rPr>
        <w:t>Phoenix, AZ</w:t>
      </w:r>
      <w:r w:rsidR="008F2F4A">
        <w:rPr>
          <w:rFonts w:ascii="Times New Roman" w:eastAsia="Times New Roman" w:hAnsi="Times New Roman" w:cs="Times New Roman"/>
        </w:rPr>
        <w:t>)</w:t>
      </w:r>
    </w:p>
    <w:p w14:paraId="5EEFD46D" w14:textId="23A28EAC" w:rsidR="00E4221C" w:rsidRPr="00E4221C" w:rsidRDefault="00E4221C" w:rsidP="000E2096">
      <w:pPr>
        <w:spacing w:before="120"/>
        <w:rPr>
          <w:rFonts w:ascii="Times New Roman" w:hAnsi="Times New Roman" w:cs="Times New Roman"/>
        </w:rPr>
      </w:pPr>
      <w:r w:rsidRPr="00E4221C">
        <w:rPr>
          <w:rFonts w:ascii="Times New Roman" w:hAnsi="Times New Roman" w:cs="Times New Roman"/>
        </w:rPr>
        <w:lastRenderedPageBreak/>
        <w:t xml:space="preserve">Getchell, Rodman G., D.M. Scott, B.M. Chambers, N. </w:t>
      </w:r>
      <w:proofErr w:type="spellStart"/>
      <w:r w:rsidRPr="00E4221C">
        <w:rPr>
          <w:rFonts w:ascii="Times New Roman" w:hAnsi="Times New Roman" w:cs="Times New Roman"/>
        </w:rPr>
        <w:t>Wandelear</w:t>
      </w:r>
      <w:proofErr w:type="spellEnd"/>
      <w:r w:rsidRPr="00E4221C">
        <w:rPr>
          <w:rFonts w:ascii="Times New Roman" w:hAnsi="Times New Roman" w:cs="Times New Roman"/>
        </w:rPr>
        <w:t xml:space="preserve">, P.R. Bowser, P. </w:t>
      </w:r>
      <w:proofErr w:type="spellStart"/>
      <w:r w:rsidRPr="00E4221C">
        <w:rPr>
          <w:rFonts w:ascii="Times New Roman" w:hAnsi="Times New Roman" w:cs="Times New Roman"/>
        </w:rPr>
        <w:t>Baneux</w:t>
      </w:r>
      <w:proofErr w:type="spellEnd"/>
      <w:r w:rsidRPr="00E4221C">
        <w:rPr>
          <w:rFonts w:ascii="Times New Roman" w:hAnsi="Times New Roman" w:cs="Times New Roman"/>
        </w:rPr>
        <w:t>, D. Kirby, H. Marquis, and M. Blair. 2020. The Safety of AQUI-S® 20E (10% Eugenol) as a sedative on marine fish. Aquaculture America 2020, February 9-12, 2020, Honolulu, HI.</w:t>
      </w:r>
    </w:p>
    <w:p w14:paraId="542A922F" w14:textId="4EDEA8F3" w:rsidR="00E4221C" w:rsidRDefault="00E4221C" w:rsidP="000E2096">
      <w:pPr>
        <w:spacing w:before="120"/>
        <w:rPr>
          <w:rFonts w:ascii="Times New Roman" w:hAnsi="Times New Roman" w:cs="Times New Roman"/>
        </w:rPr>
      </w:pPr>
      <w:r w:rsidRPr="00E4221C">
        <w:rPr>
          <w:rFonts w:ascii="Times New Roman" w:hAnsi="Times New Roman" w:cs="Times New Roman"/>
        </w:rPr>
        <w:t xml:space="preserve">Getchell, Rodman G., Danielle M. Scott, Brian M. Chambers, Niccole </w:t>
      </w:r>
      <w:proofErr w:type="spellStart"/>
      <w:r w:rsidRPr="00E4221C">
        <w:rPr>
          <w:rFonts w:ascii="Times New Roman" w:hAnsi="Times New Roman" w:cs="Times New Roman"/>
        </w:rPr>
        <w:t>Wandelear</w:t>
      </w:r>
      <w:proofErr w:type="spellEnd"/>
      <w:r w:rsidRPr="00E4221C">
        <w:rPr>
          <w:rFonts w:ascii="Times New Roman" w:hAnsi="Times New Roman" w:cs="Times New Roman"/>
        </w:rPr>
        <w:t xml:space="preserve">, Paul R. Bowser, Philippe </w:t>
      </w:r>
      <w:proofErr w:type="spellStart"/>
      <w:r w:rsidRPr="00E4221C">
        <w:rPr>
          <w:rFonts w:ascii="Times New Roman" w:hAnsi="Times New Roman" w:cs="Times New Roman"/>
        </w:rPr>
        <w:t>Baneux</w:t>
      </w:r>
      <w:proofErr w:type="spellEnd"/>
      <w:r w:rsidRPr="00E4221C">
        <w:rPr>
          <w:rFonts w:ascii="Times New Roman" w:hAnsi="Times New Roman" w:cs="Times New Roman"/>
        </w:rPr>
        <w:t xml:space="preserve">, Drew Kirby, Hélène Marquis, and Marilyn Blair.  2019.  The safety of AQUI-S® 20E (10% Eugenol) as a sedative on a marine finfish. Aquatic Animal Drug Approval Partnership (AADAP) Program U.S. Fish and Wildlife </w:t>
      </w:r>
      <w:proofErr w:type="spellStart"/>
      <w:proofErr w:type="gramStart"/>
      <w:r w:rsidRPr="00E4221C">
        <w:rPr>
          <w:rFonts w:ascii="Times New Roman" w:hAnsi="Times New Roman" w:cs="Times New Roman"/>
        </w:rPr>
        <w:t>Service,August</w:t>
      </w:r>
      <w:proofErr w:type="spellEnd"/>
      <w:proofErr w:type="gramEnd"/>
      <w:r w:rsidRPr="00E4221C">
        <w:rPr>
          <w:rFonts w:ascii="Times New Roman" w:hAnsi="Times New Roman" w:cs="Times New Roman"/>
        </w:rPr>
        <w:t xml:space="preserve"> 31, 2019 Bozeman, MT</w:t>
      </w:r>
    </w:p>
    <w:p w14:paraId="4F045029" w14:textId="77777777" w:rsidR="00875BD2" w:rsidRPr="00E4221C" w:rsidRDefault="00875BD2" w:rsidP="000E2096">
      <w:pPr>
        <w:spacing w:before="120"/>
        <w:rPr>
          <w:rFonts w:ascii="Times New Roman" w:hAnsi="Times New Roman" w:cs="Times New Roman"/>
        </w:rPr>
      </w:pPr>
    </w:p>
    <w:p w14:paraId="1D0B145C" w14:textId="77777777" w:rsidR="00C14766" w:rsidRDefault="00C14766" w:rsidP="006C1ABC">
      <w:pPr>
        <w:jc w:val="both"/>
        <w:rPr>
          <w:rFonts w:ascii="Times New Roman" w:eastAsia="Times New Roman" w:hAnsi="Times New Roman" w:cs="Times New Roman"/>
          <w:color w:val="000000"/>
          <w:sz w:val="22"/>
          <w:szCs w:val="22"/>
        </w:rPr>
      </w:pPr>
    </w:p>
    <w:p w14:paraId="69E56F60" w14:textId="77777777" w:rsidR="001A36F0" w:rsidRDefault="001A36F0" w:rsidP="00875BD2">
      <w:pPr>
        <w:rPr>
          <w:rFonts w:ascii="Times New Roman" w:eastAsia="Times New Roman" w:hAnsi="Times New Roman" w:cs="Times New Roman"/>
          <w:color w:val="000000"/>
          <w:sz w:val="22"/>
          <w:szCs w:val="22"/>
        </w:rPr>
      </w:pPr>
    </w:p>
    <w:p w14:paraId="01A279CE" w14:textId="77777777" w:rsidR="00071F88" w:rsidRPr="00ED599F" w:rsidRDefault="00071F88" w:rsidP="004615F1">
      <w:pPr>
        <w:rPr>
          <w:rFonts w:ascii="Times New Roman" w:eastAsia="Times New Roman" w:hAnsi="Times New Roman" w:cs="Times New Roman"/>
          <w:sz w:val="22"/>
          <w:szCs w:val="22"/>
        </w:rPr>
      </w:pPr>
    </w:p>
    <w:sectPr w:rsidR="00071F88" w:rsidRPr="00ED599F" w:rsidSect="00357F7F">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9AB04" w14:textId="77777777" w:rsidR="003526E7" w:rsidRDefault="003526E7" w:rsidP="00875BD2">
      <w:r>
        <w:separator/>
      </w:r>
    </w:p>
  </w:endnote>
  <w:endnote w:type="continuationSeparator" w:id="0">
    <w:p w14:paraId="77F8F39D" w14:textId="77777777" w:rsidR="003526E7" w:rsidRDefault="003526E7" w:rsidP="0087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2684903"/>
      <w:docPartObj>
        <w:docPartGallery w:val="Page Numbers (Bottom of Page)"/>
        <w:docPartUnique/>
      </w:docPartObj>
    </w:sdtPr>
    <w:sdtEndPr>
      <w:rPr>
        <w:rStyle w:val="PageNumber"/>
      </w:rPr>
    </w:sdtEndPr>
    <w:sdtContent>
      <w:p w14:paraId="11B5EE8D" w14:textId="44CB39F8" w:rsidR="00875BD2" w:rsidRDefault="00875BD2" w:rsidP="00C721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86CE1" w14:textId="77777777" w:rsidR="00875BD2" w:rsidRDefault="00875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7757338"/>
      <w:docPartObj>
        <w:docPartGallery w:val="Page Numbers (Bottom of Page)"/>
        <w:docPartUnique/>
      </w:docPartObj>
    </w:sdtPr>
    <w:sdtEndPr>
      <w:rPr>
        <w:rStyle w:val="PageNumber"/>
      </w:rPr>
    </w:sdtEndPr>
    <w:sdtContent>
      <w:p w14:paraId="424158C5" w14:textId="6BC63480" w:rsidR="00875BD2" w:rsidRDefault="00875BD2" w:rsidP="00C7213C">
        <w:pPr>
          <w:pStyle w:val="Footer"/>
          <w:framePr w:wrap="none" w:vAnchor="text" w:hAnchor="margin" w:xAlign="center" w:y="1"/>
          <w:rPr>
            <w:rStyle w:val="PageNumber"/>
          </w:rPr>
        </w:pPr>
        <w:r w:rsidRPr="00875BD2">
          <w:rPr>
            <w:rStyle w:val="PageNumber"/>
            <w:rFonts w:ascii="Times New Roman" w:hAnsi="Times New Roman" w:cs="Times New Roman"/>
            <w:sz w:val="22"/>
            <w:szCs w:val="22"/>
          </w:rPr>
          <w:fldChar w:fldCharType="begin"/>
        </w:r>
        <w:r w:rsidRPr="00875BD2">
          <w:rPr>
            <w:rStyle w:val="PageNumber"/>
            <w:rFonts w:ascii="Times New Roman" w:hAnsi="Times New Roman" w:cs="Times New Roman"/>
            <w:sz w:val="22"/>
            <w:szCs w:val="22"/>
          </w:rPr>
          <w:instrText xml:space="preserve"> PAGE </w:instrText>
        </w:r>
        <w:r w:rsidRPr="00875BD2">
          <w:rPr>
            <w:rStyle w:val="PageNumber"/>
            <w:rFonts w:ascii="Times New Roman" w:hAnsi="Times New Roman" w:cs="Times New Roman"/>
            <w:sz w:val="22"/>
            <w:szCs w:val="22"/>
          </w:rPr>
          <w:fldChar w:fldCharType="separate"/>
        </w:r>
        <w:r w:rsidRPr="00875BD2">
          <w:rPr>
            <w:rStyle w:val="PageNumber"/>
            <w:rFonts w:ascii="Times New Roman" w:hAnsi="Times New Roman" w:cs="Times New Roman"/>
            <w:noProof/>
            <w:sz w:val="22"/>
            <w:szCs w:val="22"/>
          </w:rPr>
          <w:t>1</w:t>
        </w:r>
        <w:r w:rsidRPr="00875BD2">
          <w:rPr>
            <w:rStyle w:val="PageNumber"/>
            <w:rFonts w:ascii="Times New Roman" w:hAnsi="Times New Roman" w:cs="Times New Roman"/>
            <w:sz w:val="22"/>
            <w:szCs w:val="22"/>
          </w:rPr>
          <w:fldChar w:fldCharType="end"/>
        </w:r>
      </w:p>
    </w:sdtContent>
  </w:sdt>
  <w:p w14:paraId="129D93F2" w14:textId="77777777" w:rsidR="00875BD2" w:rsidRDefault="00875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1C358" w14:textId="77777777" w:rsidR="003526E7" w:rsidRDefault="003526E7" w:rsidP="00875BD2">
      <w:r>
        <w:separator/>
      </w:r>
    </w:p>
  </w:footnote>
  <w:footnote w:type="continuationSeparator" w:id="0">
    <w:p w14:paraId="5A64BD8A" w14:textId="77777777" w:rsidR="003526E7" w:rsidRDefault="003526E7" w:rsidP="0087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C3383"/>
    <w:multiLevelType w:val="multilevel"/>
    <w:tmpl w:val="FBACA9E4"/>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bCs/>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15:restartNumberingAfterBreak="0">
    <w:nsid w:val="214D3D89"/>
    <w:multiLevelType w:val="multilevel"/>
    <w:tmpl w:val="A4362736"/>
    <w:lvl w:ilvl="0">
      <w:start w:val="1"/>
      <w:numFmt w:val="decimal"/>
      <w:lvlText w:val="%1."/>
      <w:lvlJc w:val="left"/>
      <w:pPr>
        <w:ind w:left="360" w:hanging="360"/>
      </w:pPr>
      <w:rPr>
        <w:rFonts w:hint="default"/>
        <w:sz w:val="24"/>
        <w:szCs w:val="24"/>
        <w:u w:val="none"/>
        <w:vertAlign w:val="superscrip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15:restartNumberingAfterBreak="0">
    <w:nsid w:val="2294314B"/>
    <w:multiLevelType w:val="hybridMultilevel"/>
    <w:tmpl w:val="F65A733E"/>
    <w:lvl w:ilvl="0" w:tplc="5A4C8E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D7118"/>
    <w:multiLevelType w:val="multilevel"/>
    <w:tmpl w:val="E2F2E30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52845E1"/>
    <w:multiLevelType w:val="multilevel"/>
    <w:tmpl w:val="0409001F"/>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432" w:hanging="432"/>
      </w:pPr>
      <w:rPr>
        <w:rFonts w:ascii="Times New Roman" w:hAnsi="Times New Roman"/>
        <w:sz w:val="24"/>
      </w:rPr>
    </w:lvl>
    <w:lvl w:ilvl="2">
      <w:start w:val="1"/>
      <w:numFmt w:val="decimal"/>
      <w:lvlText w:val="%1.%2.%3."/>
      <w:lvlJc w:val="left"/>
      <w:pPr>
        <w:ind w:left="504" w:hanging="504"/>
      </w:pPr>
      <w:rPr>
        <w:rFonts w:ascii="Times New Roman" w:hAnsi="Times New Roman"/>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BF06B0"/>
    <w:multiLevelType w:val="hybridMultilevel"/>
    <w:tmpl w:val="F7B20880"/>
    <w:lvl w:ilvl="0" w:tplc="348A0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457"/>
    <w:multiLevelType w:val="multilevel"/>
    <w:tmpl w:val="591C1098"/>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52A714B3"/>
    <w:multiLevelType w:val="hybridMultilevel"/>
    <w:tmpl w:val="B9CEB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3E59"/>
    <w:multiLevelType w:val="multilevel"/>
    <w:tmpl w:val="112AF290"/>
    <w:lvl w:ilvl="0">
      <w:start w:val="1"/>
      <w:numFmt w:val="decimal"/>
      <w:lvlText w:val="%1"/>
      <w:lvlJc w:val="left"/>
      <w:pPr>
        <w:ind w:left="360" w:hanging="360"/>
      </w:pPr>
      <w:rPr>
        <w:rFonts w:hint="default"/>
        <w:b w:val="0"/>
        <w:u w:val="none"/>
      </w:rPr>
    </w:lvl>
    <w:lvl w:ilvl="1">
      <w:start w:val="3"/>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9" w15:restartNumberingAfterBreak="0">
    <w:nsid w:val="602528FD"/>
    <w:multiLevelType w:val="hybridMultilevel"/>
    <w:tmpl w:val="8B14F384"/>
    <w:lvl w:ilvl="0" w:tplc="0409000F">
      <w:start w:val="1"/>
      <w:numFmt w:val="decimal"/>
      <w:lvlText w:val="%1."/>
      <w:lvlJc w:val="left"/>
      <w:pPr>
        <w:ind w:left="1080" w:hanging="360"/>
      </w:pPr>
    </w:lvl>
    <w:lvl w:ilvl="1" w:tplc="9C1C8BE4">
      <w:start w:val="1"/>
      <w:numFmt w:val="lowerLetter"/>
      <w:lvlText w:val="%2."/>
      <w:lvlJc w:val="left"/>
      <w:pPr>
        <w:ind w:left="144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1B344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9F6EE3"/>
    <w:multiLevelType w:val="multilevel"/>
    <w:tmpl w:val="0F28AEEC"/>
    <w:lvl w:ilvl="0">
      <w:start w:val="6"/>
      <w:numFmt w:val="decimal"/>
      <w:lvlText w:val="%1"/>
      <w:lvlJc w:val="left"/>
      <w:pPr>
        <w:ind w:left="540" w:hanging="360"/>
      </w:pPr>
      <w:rPr>
        <w:rFonts w:hint="default"/>
        <w:b w:val="0"/>
        <w:bCs/>
        <w:u w:val="single"/>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2" w15:restartNumberingAfterBreak="0">
    <w:nsid w:val="7A3925E5"/>
    <w:multiLevelType w:val="multilevel"/>
    <w:tmpl w:val="D0EA278E"/>
    <w:lvl w:ilvl="0">
      <w:start w:val="1"/>
      <w:numFmt w:val="decimal"/>
      <w:lvlText w:val="%1"/>
      <w:lvlJc w:val="left"/>
      <w:pPr>
        <w:ind w:left="360" w:hanging="360"/>
      </w:pPr>
      <w:rPr>
        <w:rFonts w:hint="default"/>
        <w:u w:val="single"/>
      </w:rPr>
    </w:lvl>
    <w:lvl w:ilvl="1">
      <w:start w:val="1"/>
      <w:numFmt w:val="decimal"/>
      <w:lvlText w:val="%1.%2"/>
      <w:lvlJc w:val="left"/>
      <w:pPr>
        <w:ind w:left="1440" w:hanging="360"/>
      </w:pPr>
      <w:rPr>
        <w:rFonts w:hint="default"/>
        <w:b w:val="0"/>
        <w:bCs/>
        <w:u w:val="singl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13" w15:restartNumberingAfterBreak="0">
    <w:nsid w:val="7E0E3FED"/>
    <w:multiLevelType w:val="hybridMultilevel"/>
    <w:tmpl w:val="4114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7"/>
  </w:num>
  <w:num w:numId="5">
    <w:abstractNumId w:val="1"/>
  </w:num>
  <w:num w:numId="6">
    <w:abstractNumId w:val="5"/>
  </w:num>
  <w:num w:numId="7">
    <w:abstractNumId w:val="12"/>
  </w:num>
  <w:num w:numId="8">
    <w:abstractNumId w:val="0"/>
  </w:num>
  <w:num w:numId="9">
    <w:abstractNumId w:val="8"/>
  </w:num>
  <w:num w:numId="10">
    <w:abstractNumId w:val="3"/>
  </w:num>
  <w:num w:numId="11">
    <w:abstractNumId w:val="2"/>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10"/>
    <w:rsid w:val="00005D76"/>
    <w:rsid w:val="00036A90"/>
    <w:rsid w:val="00041D91"/>
    <w:rsid w:val="00050293"/>
    <w:rsid w:val="0005372F"/>
    <w:rsid w:val="00053BD0"/>
    <w:rsid w:val="00060DED"/>
    <w:rsid w:val="000717D5"/>
    <w:rsid w:val="00071F88"/>
    <w:rsid w:val="00077B99"/>
    <w:rsid w:val="00095CCD"/>
    <w:rsid w:val="000A067F"/>
    <w:rsid w:val="000B379B"/>
    <w:rsid w:val="000C13A9"/>
    <w:rsid w:val="000C1ACF"/>
    <w:rsid w:val="000C1DDD"/>
    <w:rsid w:val="000D53CC"/>
    <w:rsid w:val="000E2096"/>
    <w:rsid w:val="000E3E54"/>
    <w:rsid w:val="000E40A4"/>
    <w:rsid w:val="000E6977"/>
    <w:rsid w:val="001131A7"/>
    <w:rsid w:val="00114712"/>
    <w:rsid w:val="001211AD"/>
    <w:rsid w:val="001273E7"/>
    <w:rsid w:val="00135931"/>
    <w:rsid w:val="001434DE"/>
    <w:rsid w:val="00143F5D"/>
    <w:rsid w:val="0015713E"/>
    <w:rsid w:val="00167D82"/>
    <w:rsid w:val="00177289"/>
    <w:rsid w:val="00177977"/>
    <w:rsid w:val="0018013A"/>
    <w:rsid w:val="001A36F0"/>
    <w:rsid w:val="001B2E58"/>
    <w:rsid w:val="001B31A1"/>
    <w:rsid w:val="001B3433"/>
    <w:rsid w:val="001C602E"/>
    <w:rsid w:val="001D2261"/>
    <w:rsid w:val="001D5FC7"/>
    <w:rsid w:val="001E7943"/>
    <w:rsid w:val="001E7EF4"/>
    <w:rsid w:val="001F685D"/>
    <w:rsid w:val="0021007B"/>
    <w:rsid w:val="002100A5"/>
    <w:rsid w:val="0021488D"/>
    <w:rsid w:val="002174C4"/>
    <w:rsid w:val="0022053E"/>
    <w:rsid w:val="00232391"/>
    <w:rsid w:val="00233C8D"/>
    <w:rsid w:val="00246B0E"/>
    <w:rsid w:val="00247E7D"/>
    <w:rsid w:val="002917EE"/>
    <w:rsid w:val="002A2600"/>
    <w:rsid w:val="002B39AD"/>
    <w:rsid w:val="002B3F1E"/>
    <w:rsid w:val="002B7D96"/>
    <w:rsid w:val="002C5DB3"/>
    <w:rsid w:val="002C6C3B"/>
    <w:rsid w:val="002E2C05"/>
    <w:rsid w:val="002E77E3"/>
    <w:rsid w:val="002F7A71"/>
    <w:rsid w:val="00303730"/>
    <w:rsid w:val="00313219"/>
    <w:rsid w:val="003211FD"/>
    <w:rsid w:val="003226F6"/>
    <w:rsid w:val="003331DC"/>
    <w:rsid w:val="0034448D"/>
    <w:rsid w:val="003526E7"/>
    <w:rsid w:val="00355AD0"/>
    <w:rsid w:val="00357F7F"/>
    <w:rsid w:val="00375AEC"/>
    <w:rsid w:val="00386B0D"/>
    <w:rsid w:val="003A5E74"/>
    <w:rsid w:val="003D738E"/>
    <w:rsid w:val="003F1E80"/>
    <w:rsid w:val="00412903"/>
    <w:rsid w:val="00413040"/>
    <w:rsid w:val="00427589"/>
    <w:rsid w:val="00433B41"/>
    <w:rsid w:val="004615F1"/>
    <w:rsid w:val="00462C91"/>
    <w:rsid w:val="004660DB"/>
    <w:rsid w:val="004743A0"/>
    <w:rsid w:val="0049239D"/>
    <w:rsid w:val="004A6C69"/>
    <w:rsid w:val="004B10E9"/>
    <w:rsid w:val="004C25C1"/>
    <w:rsid w:val="004C6859"/>
    <w:rsid w:val="004F24FC"/>
    <w:rsid w:val="0050140C"/>
    <w:rsid w:val="00502AA4"/>
    <w:rsid w:val="0054347A"/>
    <w:rsid w:val="005443F1"/>
    <w:rsid w:val="0059280C"/>
    <w:rsid w:val="005B724B"/>
    <w:rsid w:val="005C7614"/>
    <w:rsid w:val="005D70E9"/>
    <w:rsid w:val="00600D22"/>
    <w:rsid w:val="006018F7"/>
    <w:rsid w:val="00607532"/>
    <w:rsid w:val="00640AB7"/>
    <w:rsid w:val="006506C6"/>
    <w:rsid w:val="0065715F"/>
    <w:rsid w:val="0066686A"/>
    <w:rsid w:val="00674C3F"/>
    <w:rsid w:val="00685030"/>
    <w:rsid w:val="00691D14"/>
    <w:rsid w:val="006A786C"/>
    <w:rsid w:val="006C1ABC"/>
    <w:rsid w:val="006C2075"/>
    <w:rsid w:val="006C3D59"/>
    <w:rsid w:val="006C3F3B"/>
    <w:rsid w:val="006D6372"/>
    <w:rsid w:val="006E38BD"/>
    <w:rsid w:val="006F3944"/>
    <w:rsid w:val="00701D9D"/>
    <w:rsid w:val="007138FF"/>
    <w:rsid w:val="00714832"/>
    <w:rsid w:val="00717029"/>
    <w:rsid w:val="00733823"/>
    <w:rsid w:val="00791878"/>
    <w:rsid w:val="00792FC6"/>
    <w:rsid w:val="0079552E"/>
    <w:rsid w:val="00797557"/>
    <w:rsid w:val="007A1C75"/>
    <w:rsid w:val="007A29A3"/>
    <w:rsid w:val="007B5F07"/>
    <w:rsid w:val="007D6EC8"/>
    <w:rsid w:val="0080731D"/>
    <w:rsid w:val="008121EC"/>
    <w:rsid w:val="00813CB7"/>
    <w:rsid w:val="00814FD8"/>
    <w:rsid w:val="00820366"/>
    <w:rsid w:val="00824A4C"/>
    <w:rsid w:val="00825A8C"/>
    <w:rsid w:val="00833E7B"/>
    <w:rsid w:val="00852AB3"/>
    <w:rsid w:val="008629B3"/>
    <w:rsid w:val="00875BD2"/>
    <w:rsid w:val="00890DA9"/>
    <w:rsid w:val="008955B5"/>
    <w:rsid w:val="008B14AB"/>
    <w:rsid w:val="008B388D"/>
    <w:rsid w:val="008B48C9"/>
    <w:rsid w:val="008D0875"/>
    <w:rsid w:val="008D091B"/>
    <w:rsid w:val="008D14BA"/>
    <w:rsid w:val="008E7F61"/>
    <w:rsid w:val="008F2213"/>
    <w:rsid w:val="008F2F4A"/>
    <w:rsid w:val="008F44D6"/>
    <w:rsid w:val="009128C9"/>
    <w:rsid w:val="00956416"/>
    <w:rsid w:val="009705E7"/>
    <w:rsid w:val="009747E2"/>
    <w:rsid w:val="00977792"/>
    <w:rsid w:val="00983D4F"/>
    <w:rsid w:val="00992F69"/>
    <w:rsid w:val="009B422B"/>
    <w:rsid w:val="009B55D3"/>
    <w:rsid w:val="009C209A"/>
    <w:rsid w:val="009C36FB"/>
    <w:rsid w:val="009C3C10"/>
    <w:rsid w:val="009D7E75"/>
    <w:rsid w:val="009F1A5F"/>
    <w:rsid w:val="00A33B13"/>
    <w:rsid w:val="00A5169C"/>
    <w:rsid w:val="00A56ECD"/>
    <w:rsid w:val="00A7003D"/>
    <w:rsid w:val="00A70473"/>
    <w:rsid w:val="00A76F07"/>
    <w:rsid w:val="00AA2B37"/>
    <w:rsid w:val="00AA58BC"/>
    <w:rsid w:val="00AB1589"/>
    <w:rsid w:val="00AB57A0"/>
    <w:rsid w:val="00AC17DC"/>
    <w:rsid w:val="00AC6BA6"/>
    <w:rsid w:val="00AD46B9"/>
    <w:rsid w:val="00AE6BE6"/>
    <w:rsid w:val="00AE7A80"/>
    <w:rsid w:val="00AF2797"/>
    <w:rsid w:val="00AF523F"/>
    <w:rsid w:val="00AF5290"/>
    <w:rsid w:val="00B0017F"/>
    <w:rsid w:val="00B0177D"/>
    <w:rsid w:val="00B06458"/>
    <w:rsid w:val="00B16E81"/>
    <w:rsid w:val="00B24F9A"/>
    <w:rsid w:val="00B26C67"/>
    <w:rsid w:val="00B417D1"/>
    <w:rsid w:val="00B51482"/>
    <w:rsid w:val="00B5350C"/>
    <w:rsid w:val="00B82455"/>
    <w:rsid w:val="00B84260"/>
    <w:rsid w:val="00B94EB0"/>
    <w:rsid w:val="00BB31D4"/>
    <w:rsid w:val="00BD3088"/>
    <w:rsid w:val="00BE403E"/>
    <w:rsid w:val="00BF493B"/>
    <w:rsid w:val="00BF6A03"/>
    <w:rsid w:val="00BF7C6F"/>
    <w:rsid w:val="00C070F5"/>
    <w:rsid w:val="00C14766"/>
    <w:rsid w:val="00C15514"/>
    <w:rsid w:val="00C16537"/>
    <w:rsid w:val="00C2454E"/>
    <w:rsid w:val="00C26416"/>
    <w:rsid w:val="00C26607"/>
    <w:rsid w:val="00C2716B"/>
    <w:rsid w:val="00C316E4"/>
    <w:rsid w:val="00C50C2E"/>
    <w:rsid w:val="00C577EE"/>
    <w:rsid w:val="00C633C9"/>
    <w:rsid w:val="00C75C33"/>
    <w:rsid w:val="00C85DAD"/>
    <w:rsid w:val="00C96082"/>
    <w:rsid w:val="00CA626A"/>
    <w:rsid w:val="00CB65A3"/>
    <w:rsid w:val="00CC3289"/>
    <w:rsid w:val="00CC3D00"/>
    <w:rsid w:val="00CC7CB1"/>
    <w:rsid w:val="00CD10DB"/>
    <w:rsid w:val="00CF4405"/>
    <w:rsid w:val="00D00EA6"/>
    <w:rsid w:val="00D01596"/>
    <w:rsid w:val="00D26F09"/>
    <w:rsid w:val="00D402C1"/>
    <w:rsid w:val="00D42649"/>
    <w:rsid w:val="00D45311"/>
    <w:rsid w:val="00D51408"/>
    <w:rsid w:val="00D528C4"/>
    <w:rsid w:val="00D57340"/>
    <w:rsid w:val="00D94813"/>
    <w:rsid w:val="00DA537F"/>
    <w:rsid w:val="00DB24C7"/>
    <w:rsid w:val="00DE3462"/>
    <w:rsid w:val="00E11257"/>
    <w:rsid w:val="00E20C32"/>
    <w:rsid w:val="00E31332"/>
    <w:rsid w:val="00E377E3"/>
    <w:rsid w:val="00E40088"/>
    <w:rsid w:val="00E4221C"/>
    <w:rsid w:val="00E43ECD"/>
    <w:rsid w:val="00E50AFF"/>
    <w:rsid w:val="00E610AC"/>
    <w:rsid w:val="00E663BB"/>
    <w:rsid w:val="00E71FA5"/>
    <w:rsid w:val="00E72ECB"/>
    <w:rsid w:val="00E73796"/>
    <w:rsid w:val="00E806FB"/>
    <w:rsid w:val="00E8151E"/>
    <w:rsid w:val="00E94DD9"/>
    <w:rsid w:val="00EA55DB"/>
    <w:rsid w:val="00EA57B6"/>
    <w:rsid w:val="00EB4D33"/>
    <w:rsid w:val="00EB528D"/>
    <w:rsid w:val="00ED599F"/>
    <w:rsid w:val="00ED705D"/>
    <w:rsid w:val="00EF7C9F"/>
    <w:rsid w:val="00F078F6"/>
    <w:rsid w:val="00F1136C"/>
    <w:rsid w:val="00F11778"/>
    <w:rsid w:val="00F51A3A"/>
    <w:rsid w:val="00F51F87"/>
    <w:rsid w:val="00F827B0"/>
    <w:rsid w:val="00F827DD"/>
    <w:rsid w:val="00F84B29"/>
    <w:rsid w:val="00F9018F"/>
    <w:rsid w:val="00F972AD"/>
    <w:rsid w:val="00FB7CE8"/>
    <w:rsid w:val="00FC366F"/>
    <w:rsid w:val="00FD39BF"/>
    <w:rsid w:val="00FE37CE"/>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7AF"/>
  <w15:chartTrackingRefBased/>
  <w15:docId w15:val="{735A1D91-FF5E-064D-9666-DA3523BF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C16537"/>
    <w:pPr>
      <w:numPr>
        <w:numId w:val="1"/>
      </w:numPr>
    </w:pPr>
  </w:style>
  <w:style w:type="paragraph" w:styleId="ListParagraph">
    <w:name w:val="List Paragraph"/>
    <w:basedOn w:val="Normal"/>
    <w:uiPriority w:val="1"/>
    <w:qFormat/>
    <w:rsid w:val="00462C91"/>
    <w:pPr>
      <w:spacing w:after="160" w:line="259" w:lineRule="auto"/>
      <w:ind w:left="720"/>
      <w:contextualSpacing/>
    </w:pPr>
    <w:rPr>
      <w:sz w:val="22"/>
      <w:szCs w:val="22"/>
    </w:rPr>
  </w:style>
  <w:style w:type="table" w:styleId="TableGrid">
    <w:name w:val="Table Grid"/>
    <w:basedOn w:val="TableNormal"/>
    <w:uiPriority w:val="39"/>
    <w:rsid w:val="00B0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94EB0"/>
    <w:pPr>
      <w:widowControl w:val="0"/>
      <w:autoSpaceDE w:val="0"/>
      <w:autoSpaceDN w:val="0"/>
      <w:spacing w:line="256" w:lineRule="exact"/>
      <w:ind w:left="196"/>
      <w:jc w:val="center"/>
    </w:pPr>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75BD2"/>
    <w:pPr>
      <w:tabs>
        <w:tab w:val="center" w:pos="4680"/>
        <w:tab w:val="right" w:pos="9360"/>
      </w:tabs>
    </w:pPr>
  </w:style>
  <w:style w:type="character" w:customStyle="1" w:styleId="FooterChar">
    <w:name w:val="Footer Char"/>
    <w:basedOn w:val="DefaultParagraphFont"/>
    <w:link w:val="Footer"/>
    <w:uiPriority w:val="99"/>
    <w:rsid w:val="00875BD2"/>
  </w:style>
  <w:style w:type="character" w:styleId="PageNumber">
    <w:name w:val="page number"/>
    <w:basedOn w:val="DefaultParagraphFont"/>
    <w:uiPriority w:val="99"/>
    <w:semiHidden/>
    <w:unhideWhenUsed/>
    <w:rsid w:val="00875BD2"/>
  </w:style>
  <w:style w:type="paragraph" w:styleId="Header">
    <w:name w:val="header"/>
    <w:basedOn w:val="Normal"/>
    <w:link w:val="HeaderChar"/>
    <w:uiPriority w:val="99"/>
    <w:unhideWhenUsed/>
    <w:rsid w:val="00875BD2"/>
    <w:pPr>
      <w:tabs>
        <w:tab w:val="center" w:pos="4680"/>
        <w:tab w:val="right" w:pos="9360"/>
      </w:tabs>
    </w:pPr>
  </w:style>
  <w:style w:type="character" w:customStyle="1" w:styleId="HeaderChar">
    <w:name w:val="Header Char"/>
    <w:basedOn w:val="DefaultParagraphFont"/>
    <w:link w:val="Header"/>
    <w:uiPriority w:val="99"/>
    <w:rsid w:val="0087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Bens@colostate.edu" TargetMode="External"/><Relationship Id="rId13" Type="http://schemas.openxmlformats.org/officeDocument/2006/relationships/hyperlink" Target="mailto:rgg4@cornell.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my.Omer@fda.hhs.gov" TargetMode="External"/><Relationship Id="rId12" Type="http://schemas.openxmlformats.org/officeDocument/2006/relationships/hyperlink" Target="mailto:Margaret.Oeller@fda.hh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PowerPoint_Slide.sld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mirando@usda.gov"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mailto:mes25@cornell.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gb7@cornell.edu" TargetMode="External"/><Relationship Id="rId14" Type="http://schemas.openxmlformats.org/officeDocument/2006/relationships/hyperlink" Target="mailto:rgriffit@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George Babish</dc:creator>
  <cp:keywords/>
  <dc:description/>
  <cp:lastModifiedBy>Margaret Smith</cp:lastModifiedBy>
  <cp:revision>5</cp:revision>
  <cp:lastPrinted>2020-06-01T19:12:00Z</cp:lastPrinted>
  <dcterms:created xsi:type="dcterms:W3CDTF">2020-06-05T13:45:00Z</dcterms:created>
  <dcterms:modified xsi:type="dcterms:W3CDTF">2020-06-05T22:32:00Z</dcterms:modified>
</cp:coreProperties>
</file>