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890EE" w14:textId="41918928" w:rsidR="0055353B" w:rsidRPr="004604A7" w:rsidRDefault="0055353B" w:rsidP="0055353B">
      <w:pPr>
        <w:jc w:val="center"/>
        <w:rPr>
          <w:b/>
        </w:rPr>
      </w:pPr>
      <w:r>
        <w:rPr>
          <w:b/>
        </w:rPr>
        <w:t>2020-21</w:t>
      </w:r>
      <w:r w:rsidRPr="004604A7">
        <w:rPr>
          <w:b/>
        </w:rPr>
        <w:t xml:space="preserve"> NCERA-184 Meeting Minutes</w:t>
      </w:r>
    </w:p>
    <w:p w14:paraId="1C1CCD09" w14:textId="77777777" w:rsidR="0055353B" w:rsidRDefault="0055353B" w:rsidP="0055353B"/>
    <w:p w14:paraId="17F28C31" w14:textId="30E10540" w:rsidR="0055353B" w:rsidRPr="00441351" w:rsidRDefault="0055353B" w:rsidP="006679D3">
      <w:pPr>
        <w:jc w:val="both"/>
        <w:rPr>
          <w:sz w:val="22"/>
        </w:rPr>
      </w:pPr>
      <w:r w:rsidRPr="00441351">
        <w:rPr>
          <w:sz w:val="22"/>
        </w:rPr>
        <w:t>Chair: Alyssa Koehler – University of Delaware</w:t>
      </w:r>
    </w:p>
    <w:p w14:paraId="4EF8F6F0" w14:textId="1CBF89C5" w:rsidR="0055353B" w:rsidRPr="00441351" w:rsidRDefault="0055353B" w:rsidP="006679D3">
      <w:pPr>
        <w:jc w:val="both"/>
        <w:rPr>
          <w:sz w:val="22"/>
        </w:rPr>
      </w:pPr>
      <w:r w:rsidRPr="00441351">
        <w:rPr>
          <w:sz w:val="22"/>
        </w:rPr>
        <w:t xml:space="preserve">Secretary: </w:t>
      </w:r>
      <w:r>
        <w:rPr>
          <w:sz w:val="22"/>
        </w:rPr>
        <w:t>Terry Spurlock</w:t>
      </w:r>
      <w:r w:rsidRPr="00441351">
        <w:rPr>
          <w:sz w:val="22"/>
        </w:rPr>
        <w:t xml:space="preserve"> – University of </w:t>
      </w:r>
      <w:r>
        <w:rPr>
          <w:sz w:val="22"/>
        </w:rPr>
        <w:t>Arkansas System Division of Agriculture</w:t>
      </w:r>
    </w:p>
    <w:p w14:paraId="40262570" w14:textId="77777777" w:rsidR="0055353B" w:rsidRPr="00441351" w:rsidRDefault="0055353B" w:rsidP="006679D3">
      <w:pPr>
        <w:jc w:val="both"/>
        <w:rPr>
          <w:sz w:val="22"/>
        </w:rPr>
      </w:pPr>
    </w:p>
    <w:p w14:paraId="127701C6" w14:textId="661CAC2E" w:rsidR="0055353B" w:rsidRPr="00441351" w:rsidRDefault="0055353B" w:rsidP="006679D3">
      <w:pPr>
        <w:jc w:val="both"/>
        <w:rPr>
          <w:sz w:val="22"/>
        </w:rPr>
      </w:pPr>
      <w:r w:rsidRPr="00441351">
        <w:rPr>
          <w:sz w:val="22"/>
        </w:rPr>
        <w:t>Attendees</w:t>
      </w:r>
      <w:r>
        <w:rPr>
          <w:sz w:val="22"/>
        </w:rPr>
        <w:t xml:space="preserve"> (all Zoom):</w:t>
      </w:r>
    </w:p>
    <w:p w14:paraId="7A8BB25D" w14:textId="77D80C61" w:rsidR="0055353B" w:rsidRPr="00441351" w:rsidRDefault="0055353B" w:rsidP="006679D3">
      <w:pPr>
        <w:jc w:val="both"/>
        <w:rPr>
          <w:sz w:val="22"/>
        </w:rPr>
      </w:pPr>
      <w:r w:rsidRPr="00441351">
        <w:rPr>
          <w:sz w:val="22"/>
        </w:rPr>
        <w:t>Daren Mueller – Iowa State University</w:t>
      </w:r>
    </w:p>
    <w:p w14:paraId="5C4684C8" w14:textId="77777777" w:rsidR="0055353B" w:rsidRPr="00CE3066" w:rsidRDefault="0055353B" w:rsidP="006679D3">
      <w:pPr>
        <w:jc w:val="both"/>
        <w:rPr>
          <w:color w:val="000000" w:themeColor="text1"/>
          <w:sz w:val="22"/>
        </w:rPr>
      </w:pPr>
      <w:r w:rsidRPr="00CE3066">
        <w:rPr>
          <w:color w:val="000000" w:themeColor="text1"/>
          <w:sz w:val="22"/>
        </w:rPr>
        <w:t xml:space="preserve">Albert </w:t>
      </w:r>
      <w:proofErr w:type="spellStart"/>
      <w:r w:rsidRPr="00CE3066">
        <w:rPr>
          <w:color w:val="000000" w:themeColor="text1"/>
          <w:sz w:val="22"/>
        </w:rPr>
        <w:t>Tenuta</w:t>
      </w:r>
      <w:proofErr w:type="spellEnd"/>
      <w:r w:rsidRPr="00CE3066">
        <w:rPr>
          <w:color w:val="000000" w:themeColor="text1"/>
          <w:sz w:val="22"/>
        </w:rPr>
        <w:t xml:space="preserve"> – OMAFRA</w:t>
      </w:r>
    </w:p>
    <w:p w14:paraId="1860D52F" w14:textId="365FD2B6" w:rsidR="0055353B" w:rsidRPr="00441351" w:rsidRDefault="00010504" w:rsidP="006679D3">
      <w:pPr>
        <w:jc w:val="both"/>
        <w:rPr>
          <w:sz w:val="22"/>
        </w:rPr>
      </w:pPr>
      <w:r>
        <w:rPr>
          <w:sz w:val="22"/>
        </w:rPr>
        <w:t>Emmanuel B.</w:t>
      </w:r>
      <w:r w:rsidR="0055353B" w:rsidRPr="00441351">
        <w:rPr>
          <w:sz w:val="22"/>
        </w:rPr>
        <w:t>– South Dakota State University</w:t>
      </w:r>
    </w:p>
    <w:p w14:paraId="55DF2E76" w14:textId="15235222" w:rsidR="0055353B" w:rsidRPr="00441351" w:rsidRDefault="0055353B" w:rsidP="006679D3">
      <w:pPr>
        <w:jc w:val="both"/>
        <w:rPr>
          <w:sz w:val="22"/>
        </w:rPr>
      </w:pPr>
      <w:r w:rsidRPr="00441351">
        <w:rPr>
          <w:sz w:val="22"/>
        </w:rPr>
        <w:t xml:space="preserve">Martin </w:t>
      </w:r>
      <w:proofErr w:type="spellStart"/>
      <w:r w:rsidR="00E83056">
        <w:rPr>
          <w:sz w:val="22"/>
        </w:rPr>
        <w:t>Chilvers</w:t>
      </w:r>
      <w:proofErr w:type="spellEnd"/>
      <w:r w:rsidRPr="00441351">
        <w:rPr>
          <w:sz w:val="22"/>
        </w:rPr>
        <w:t xml:space="preserve"> – Michigan State University</w:t>
      </w:r>
    </w:p>
    <w:p w14:paraId="6E063C28" w14:textId="071296CE" w:rsidR="0055353B" w:rsidRPr="00441351" w:rsidRDefault="0055353B" w:rsidP="006679D3">
      <w:pPr>
        <w:jc w:val="both"/>
        <w:rPr>
          <w:sz w:val="22"/>
        </w:rPr>
      </w:pPr>
      <w:r w:rsidRPr="00441351">
        <w:rPr>
          <w:sz w:val="22"/>
        </w:rPr>
        <w:t>Gary Bergstrom – Cornell University</w:t>
      </w:r>
    </w:p>
    <w:p w14:paraId="003EBBD4" w14:textId="77777777" w:rsidR="0055353B" w:rsidRPr="00DF688E" w:rsidRDefault="0055353B" w:rsidP="006679D3">
      <w:pPr>
        <w:jc w:val="both"/>
        <w:rPr>
          <w:color w:val="000000" w:themeColor="text1"/>
          <w:sz w:val="22"/>
        </w:rPr>
      </w:pPr>
      <w:r w:rsidRPr="00DF688E">
        <w:rPr>
          <w:color w:val="000000" w:themeColor="text1"/>
          <w:sz w:val="22"/>
        </w:rPr>
        <w:t xml:space="preserve">Andrew </w:t>
      </w:r>
      <w:proofErr w:type="spellStart"/>
      <w:r w:rsidRPr="00DF688E">
        <w:rPr>
          <w:color w:val="000000" w:themeColor="text1"/>
          <w:sz w:val="22"/>
        </w:rPr>
        <w:t>Friskop</w:t>
      </w:r>
      <w:proofErr w:type="spellEnd"/>
      <w:r w:rsidRPr="00DF688E">
        <w:rPr>
          <w:color w:val="000000" w:themeColor="text1"/>
          <w:sz w:val="22"/>
        </w:rPr>
        <w:t xml:space="preserve"> – North Dakota State University</w:t>
      </w:r>
    </w:p>
    <w:p w14:paraId="01B859B5" w14:textId="6F301601" w:rsidR="0055353B" w:rsidRPr="00441351" w:rsidRDefault="0055353B" w:rsidP="006679D3">
      <w:pPr>
        <w:jc w:val="both"/>
        <w:rPr>
          <w:sz w:val="22"/>
        </w:rPr>
      </w:pPr>
      <w:r w:rsidRPr="00441351">
        <w:rPr>
          <w:sz w:val="22"/>
        </w:rPr>
        <w:t>Rachel Guyer – University of Tennessee</w:t>
      </w:r>
    </w:p>
    <w:p w14:paraId="3E6BC74C" w14:textId="22C914E8" w:rsidR="0055353B" w:rsidRPr="00441351" w:rsidRDefault="0055353B" w:rsidP="006679D3">
      <w:pPr>
        <w:jc w:val="both"/>
        <w:rPr>
          <w:sz w:val="22"/>
        </w:rPr>
      </w:pPr>
      <w:r w:rsidRPr="00441351">
        <w:rPr>
          <w:sz w:val="22"/>
        </w:rPr>
        <w:t>Trey Price – Louisiana State University</w:t>
      </w:r>
    </w:p>
    <w:p w14:paraId="47C97FF2" w14:textId="1733DB88" w:rsidR="0055353B" w:rsidRPr="00441351" w:rsidRDefault="0055353B" w:rsidP="006679D3">
      <w:pPr>
        <w:jc w:val="both"/>
        <w:rPr>
          <w:sz w:val="22"/>
        </w:rPr>
      </w:pPr>
      <w:r w:rsidRPr="00441351">
        <w:rPr>
          <w:sz w:val="22"/>
        </w:rPr>
        <w:t>Alyssa Koehler – University of Delaware</w:t>
      </w:r>
    </w:p>
    <w:p w14:paraId="183E3418" w14:textId="3B799C51" w:rsidR="0055353B" w:rsidRPr="00441351" w:rsidRDefault="0055353B" w:rsidP="006679D3">
      <w:pPr>
        <w:jc w:val="both"/>
        <w:rPr>
          <w:sz w:val="22"/>
        </w:rPr>
      </w:pPr>
      <w:r w:rsidRPr="00441351">
        <w:rPr>
          <w:sz w:val="22"/>
        </w:rPr>
        <w:t>Kaitlyn Bissonnette – University of Missouri</w:t>
      </w:r>
    </w:p>
    <w:p w14:paraId="256133A5" w14:textId="436E93D6" w:rsidR="0055353B" w:rsidRPr="00441351" w:rsidRDefault="0055353B" w:rsidP="006679D3">
      <w:pPr>
        <w:jc w:val="both"/>
        <w:rPr>
          <w:sz w:val="22"/>
        </w:rPr>
      </w:pPr>
      <w:r w:rsidRPr="00441351">
        <w:rPr>
          <w:sz w:val="22"/>
        </w:rPr>
        <w:t xml:space="preserve">Darcy </w:t>
      </w:r>
      <w:proofErr w:type="spellStart"/>
      <w:r w:rsidRPr="00441351">
        <w:rPr>
          <w:sz w:val="22"/>
        </w:rPr>
        <w:t>Telenko</w:t>
      </w:r>
      <w:proofErr w:type="spellEnd"/>
      <w:r w:rsidRPr="00441351">
        <w:rPr>
          <w:sz w:val="22"/>
        </w:rPr>
        <w:t xml:space="preserve"> – Purdue University</w:t>
      </w:r>
    </w:p>
    <w:p w14:paraId="1D06F9E4" w14:textId="042A4C5E" w:rsidR="0055353B" w:rsidRPr="00441351" w:rsidRDefault="0055353B" w:rsidP="006679D3">
      <w:pPr>
        <w:jc w:val="both"/>
        <w:rPr>
          <w:sz w:val="22"/>
        </w:rPr>
      </w:pPr>
      <w:r w:rsidRPr="00441351">
        <w:rPr>
          <w:sz w:val="22"/>
        </w:rPr>
        <w:t>Carl Bradley – University of Kentucky</w:t>
      </w:r>
    </w:p>
    <w:p w14:paraId="2FAD551A" w14:textId="65C05A88" w:rsidR="0055353B" w:rsidRPr="00441351" w:rsidRDefault="0055353B" w:rsidP="006679D3">
      <w:pPr>
        <w:jc w:val="both"/>
        <w:rPr>
          <w:sz w:val="22"/>
        </w:rPr>
      </w:pPr>
      <w:r w:rsidRPr="00441351">
        <w:rPr>
          <w:sz w:val="22"/>
        </w:rPr>
        <w:t>Heather Kelly – University Tennessee</w:t>
      </w:r>
    </w:p>
    <w:p w14:paraId="27A6A5E8" w14:textId="1F5E0FF0" w:rsidR="0055353B" w:rsidRPr="00441351" w:rsidRDefault="0055353B" w:rsidP="006679D3">
      <w:pPr>
        <w:jc w:val="both"/>
        <w:rPr>
          <w:sz w:val="22"/>
        </w:rPr>
      </w:pPr>
      <w:r w:rsidRPr="00441351">
        <w:rPr>
          <w:sz w:val="22"/>
        </w:rPr>
        <w:t xml:space="preserve">Damon Smith – University of Wisconsin </w:t>
      </w:r>
    </w:p>
    <w:p w14:paraId="3F37787E" w14:textId="76963FAD" w:rsidR="0055353B" w:rsidRPr="00441351" w:rsidRDefault="0055353B" w:rsidP="006679D3">
      <w:pPr>
        <w:jc w:val="both"/>
        <w:rPr>
          <w:sz w:val="22"/>
        </w:rPr>
      </w:pPr>
      <w:r w:rsidRPr="00441351">
        <w:rPr>
          <w:sz w:val="22"/>
        </w:rPr>
        <w:t xml:space="preserve">Terry Spurlock – University of </w:t>
      </w:r>
      <w:r>
        <w:rPr>
          <w:sz w:val="22"/>
        </w:rPr>
        <w:t>Arkansas System Division of Agriculture</w:t>
      </w:r>
    </w:p>
    <w:p w14:paraId="4E1650FD" w14:textId="4DA84AF1" w:rsidR="0055353B" w:rsidRPr="00441351" w:rsidRDefault="0055353B" w:rsidP="006679D3">
      <w:pPr>
        <w:jc w:val="both"/>
        <w:rPr>
          <w:sz w:val="22"/>
        </w:rPr>
      </w:pPr>
      <w:r w:rsidRPr="00441351">
        <w:rPr>
          <w:sz w:val="22"/>
        </w:rPr>
        <w:t xml:space="preserve">Dan McDonald – Phenotype Screening </w:t>
      </w:r>
      <w:r w:rsidR="0070624B">
        <w:rPr>
          <w:sz w:val="22"/>
        </w:rPr>
        <w:t>Corporation</w:t>
      </w:r>
    </w:p>
    <w:p w14:paraId="492DE43C" w14:textId="61A80B92" w:rsidR="0055353B" w:rsidRDefault="0055353B" w:rsidP="006679D3">
      <w:pPr>
        <w:jc w:val="both"/>
        <w:rPr>
          <w:sz w:val="22"/>
        </w:rPr>
      </w:pPr>
      <w:r w:rsidRPr="00441351">
        <w:rPr>
          <w:sz w:val="22"/>
        </w:rPr>
        <w:t>Navjot Kaur – Virginia Tech</w:t>
      </w:r>
    </w:p>
    <w:p w14:paraId="06D0BD8E" w14:textId="3D923C7F" w:rsidR="00E83056" w:rsidRDefault="00E83056" w:rsidP="006679D3">
      <w:pPr>
        <w:jc w:val="both"/>
        <w:rPr>
          <w:sz w:val="22"/>
        </w:rPr>
      </w:pPr>
      <w:r>
        <w:rPr>
          <w:sz w:val="22"/>
        </w:rPr>
        <w:t xml:space="preserve">Kiersten Wise </w:t>
      </w:r>
      <w:r w:rsidR="009B6828">
        <w:rPr>
          <w:sz w:val="22"/>
        </w:rPr>
        <w:t>–</w:t>
      </w:r>
      <w:r>
        <w:rPr>
          <w:sz w:val="22"/>
        </w:rPr>
        <w:t xml:space="preserve"> </w:t>
      </w:r>
      <w:r w:rsidR="009B6828">
        <w:rPr>
          <w:sz w:val="22"/>
        </w:rPr>
        <w:t>University of Kentucky</w:t>
      </w:r>
    </w:p>
    <w:p w14:paraId="2E279F97" w14:textId="79CE9F72" w:rsidR="009B6828" w:rsidRDefault="009B6828" w:rsidP="006679D3">
      <w:pPr>
        <w:jc w:val="both"/>
        <w:rPr>
          <w:sz w:val="22"/>
        </w:rPr>
      </w:pPr>
      <w:r>
        <w:rPr>
          <w:sz w:val="22"/>
        </w:rPr>
        <w:t>Sin Joe Ng</w:t>
      </w:r>
      <w:r w:rsidR="002C2782">
        <w:rPr>
          <w:sz w:val="22"/>
        </w:rPr>
        <w:t xml:space="preserve"> – </w:t>
      </w:r>
      <w:r w:rsidR="001B5849">
        <w:rPr>
          <w:sz w:val="22"/>
        </w:rPr>
        <w:t>Ohio State University</w:t>
      </w:r>
    </w:p>
    <w:p w14:paraId="2471DB84" w14:textId="441781CF" w:rsidR="002C2782" w:rsidRDefault="002C2782" w:rsidP="006679D3">
      <w:pPr>
        <w:jc w:val="both"/>
        <w:rPr>
          <w:sz w:val="22"/>
        </w:rPr>
      </w:pPr>
      <w:r>
        <w:rPr>
          <w:sz w:val="22"/>
        </w:rPr>
        <w:t xml:space="preserve">Daniel </w:t>
      </w:r>
      <w:proofErr w:type="spellStart"/>
      <w:r>
        <w:rPr>
          <w:sz w:val="22"/>
        </w:rPr>
        <w:t>Sjarpe</w:t>
      </w:r>
      <w:proofErr w:type="spellEnd"/>
      <w:r>
        <w:rPr>
          <w:sz w:val="22"/>
        </w:rPr>
        <w:t xml:space="preserve"> </w:t>
      </w:r>
      <w:r w:rsidR="00432FF7">
        <w:rPr>
          <w:sz w:val="22"/>
        </w:rPr>
        <w:t>–</w:t>
      </w:r>
      <w:r>
        <w:rPr>
          <w:sz w:val="22"/>
        </w:rPr>
        <w:t xml:space="preserve"> </w:t>
      </w:r>
      <w:r w:rsidR="001B5849">
        <w:rPr>
          <w:sz w:val="22"/>
        </w:rPr>
        <w:t>University of Missouri</w:t>
      </w:r>
    </w:p>
    <w:p w14:paraId="3C5A01D1" w14:textId="1B1F96A7" w:rsidR="00432FF7" w:rsidRDefault="00432FF7" w:rsidP="006679D3">
      <w:pPr>
        <w:jc w:val="both"/>
        <w:rPr>
          <w:sz w:val="22"/>
        </w:rPr>
      </w:pPr>
      <w:r>
        <w:rPr>
          <w:sz w:val="22"/>
        </w:rPr>
        <w:t xml:space="preserve">David Langston – </w:t>
      </w:r>
      <w:r w:rsidR="000F295A">
        <w:rPr>
          <w:sz w:val="22"/>
        </w:rPr>
        <w:t>Virginia Tech University</w:t>
      </w:r>
    </w:p>
    <w:p w14:paraId="32DFA191" w14:textId="11E028CF" w:rsidR="00432FF7" w:rsidRDefault="00532429" w:rsidP="006679D3">
      <w:pPr>
        <w:jc w:val="both"/>
        <w:rPr>
          <w:sz w:val="22"/>
        </w:rPr>
      </w:pPr>
      <w:r>
        <w:rPr>
          <w:sz w:val="22"/>
        </w:rPr>
        <w:t xml:space="preserve">Marian Luis – </w:t>
      </w:r>
      <w:r w:rsidR="001B5849">
        <w:rPr>
          <w:sz w:val="22"/>
        </w:rPr>
        <w:t>Ohio State University</w:t>
      </w:r>
    </w:p>
    <w:p w14:paraId="1FE763D5" w14:textId="44E8A699" w:rsidR="00532429" w:rsidRDefault="00532429" w:rsidP="006679D3">
      <w:pPr>
        <w:jc w:val="both"/>
        <w:rPr>
          <w:sz w:val="22"/>
        </w:rPr>
      </w:pPr>
      <w:r>
        <w:rPr>
          <w:sz w:val="22"/>
        </w:rPr>
        <w:t>Kelsey Anderson Onofre – Kansas State University</w:t>
      </w:r>
    </w:p>
    <w:p w14:paraId="2C4C034A" w14:textId="15006DAE" w:rsidR="00532429" w:rsidRDefault="00452687" w:rsidP="006679D3">
      <w:pPr>
        <w:jc w:val="both"/>
        <w:rPr>
          <w:sz w:val="22"/>
        </w:rPr>
      </w:pPr>
      <w:r>
        <w:rPr>
          <w:sz w:val="22"/>
        </w:rPr>
        <w:t>Christina Cowger – NC State</w:t>
      </w:r>
    </w:p>
    <w:p w14:paraId="4C7C5A97" w14:textId="3C01DD70" w:rsidR="00452687" w:rsidRDefault="00452687" w:rsidP="006679D3">
      <w:pPr>
        <w:jc w:val="both"/>
        <w:rPr>
          <w:sz w:val="22"/>
        </w:rPr>
      </w:pPr>
      <w:proofErr w:type="spellStart"/>
      <w:r>
        <w:rPr>
          <w:sz w:val="22"/>
        </w:rPr>
        <w:t>Maira</w:t>
      </w:r>
      <w:proofErr w:type="spellEnd"/>
      <w:r>
        <w:rPr>
          <w:sz w:val="22"/>
        </w:rPr>
        <w:t xml:space="preserve"> </w:t>
      </w:r>
      <w:proofErr w:type="spellStart"/>
      <w:r>
        <w:rPr>
          <w:sz w:val="22"/>
        </w:rPr>
        <w:t>Duffeck</w:t>
      </w:r>
      <w:proofErr w:type="spellEnd"/>
      <w:r>
        <w:rPr>
          <w:sz w:val="22"/>
        </w:rPr>
        <w:t xml:space="preserve"> – </w:t>
      </w:r>
      <w:r w:rsidR="001B5849">
        <w:rPr>
          <w:sz w:val="22"/>
        </w:rPr>
        <w:t>Ohio State University</w:t>
      </w:r>
    </w:p>
    <w:p w14:paraId="2DAE1CE7" w14:textId="5216866A" w:rsidR="00452687" w:rsidRDefault="00234A9A" w:rsidP="006679D3">
      <w:pPr>
        <w:jc w:val="both"/>
        <w:rPr>
          <w:sz w:val="22"/>
        </w:rPr>
      </w:pPr>
      <w:proofErr w:type="spellStart"/>
      <w:r>
        <w:rPr>
          <w:sz w:val="22"/>
        </w:rPr>
        <w:t>Wanderson</w:t>
      </w:r>
      <w:proofErr w:type="spellEnd"/>
      <w:r>
        <w:rPr>
          <w:sz w:val="22"/>
        </w:rPr>
        <w:t xml:space="preserve"> Buckner </w:t>
      </w:r>
      <w:proofErr w:type="spellStart"/>
      <w:r>
        <w:rPr>
          <w:sz w:val="22"/>
        </w:rPr>
        <w:t>Moraes</w:t>
      </w:r>
      <w:proofErr w:type="spellEnd"/>
      <w:r>
        <w:rPr>
          <w:sz w:val="22"/>
        </w:rPr>
        <w:t xml:space="preserve"> – </w:t>
      </w:r>
    </w:p>
    <w:p w14:paraId="39ED0F19" w14:textId="77777777" w:rsidR="00C10A44" w:rsidRDefault="0055353B" w:rsidP="006679D3">
      <w:pPr>
        <w:jc w:val="both"/>
        <w:rPr>
          <w:sz w:val="22"/>
        </w:rPr>
      </w:pPr>
      <w:r w:rsidRPr="00441351">
        <w:rPr>
          <w:sz w:val="22"/>
        </w:rPr>
        <w:t xml:space="preserve">Joe </w:t>
      </w:r>
      <w:proofErr w:type="spellStart"/>
      <w:r w:rsidRPr="00441351">
        <w:rPr>
          <w:sz w:val="22"/>
        </w:rPr>
        <w:t>LaForrest</w:t>
      </w:r>
      <w:proofErr w:type="spellEnd"/>
      <w:r w:rsidRPr="00441351">
        <w:rPr>
          <w:sz w:val="22"/>
        </w:rPr>
        <w:t xml:space="preserve"> – University of Georgia</w:t>
      </w:r>
    </w:p>
    <w:p w14:paraId="752AA5FF" w14:textId="6F91CF45" w:rsidR="0055353B" w:rsidRPr="00441351" w:rsidRDefault="00A82530" w:rsidP="006679D3">
      <w:pPr>
        <w:jc w:val="both"/>
        <w:rPr>
          <w:sz w:val="22"/>
        </w:rPr>
      </w:pPr>
      <w:r>
        <w:rPr>
          <w:sz w:val="22"/>
        </w:rPr>
        <w:t>Pierce Paul – Ohio State</w:t>
      </w:r>
      <w:r w:rsidR="0055353B" w:rsidRPr="00441351">
        <w:rPr>
          <w:sz w:val="22"/>
        </w:rPr>
        <w:t xml:space="preserve"> </w:t>
      </w:r>
    </w:p>
    <w:p w14:paraId="325FF649" w14:textId="77777777" w:rsidR="0055353B" w:rsidRPr="00441351" w:rsidRDefault="0055353B" w:rsidP="006679D3">
      <w:pPr>
        <w:jc w:val="both"/>
        <w:rPr>
          <w:sz w:val="22"/>
        </w:rPr>
      </w:pPr>
    </w:p>
    <w:p w14:paraId="26781734" w14:textId="77777777" w:rsidR="0055353B" w:rsidRPr="00441351" w:rsidRDefault="0055353B" w:rsidP="006679D3">
      <w:pPr>
        <w:jc w:val="both"/>
        <w:rPr>
          <w:b/>
          <w:sz w:val="22"/>
        </w:rPr>
      </w:pPr>
    </w:p>
    <w:p w14:paraId="3304004A" w14:textId="46DA1C33" w:rsidR="00520B4B" w:rsidRPr="006679D3" w:rsidRDefault="0055353B" w:rsidP="006679D3">
      <w:pPr>
        <w:pStyle w:val="ListParagraph"/>
        <w:numPr>
          <w:ilvl w:val="0"/>
          <w:numId w:val="1"/>
        </w:numPr>
        <w:jc w:val="both"/>
        <w:rPr>
          <w:bCs/>
          <w:sz w:val="22"/>
        </w:rPr>
      </w:pPr>
      <w:r w:rsidRPr="006679D3">
        <w:rPr>
          <w:bCs/>
          <w:sz w:val="22"/>
        </w:rPr>
        <w:t xml:space="preserve">Brief </w:t>
      </w:r>
      <w:r w:rsidR="006679D3">
        <w:rPr>
          <w:bCs/>
          <w:sz w:val="22"/>
        </w:rPr>
        <w:t>i</w:t>
      </w:r>
      <w:r w:rsidRPr="006679D3">
        <w:rPr>
          <w:bCs/>
          <w:sz w:val="22"/>
        </w:rPr>
        <w:t xml:space="preserve">ntroductions of </w:t>
      </w:r>
      <w:r w:rsidR="0070624B" w:rsidRPr="006679D3">
        <w:rPr>
          <w:bCs/>
          <w:sz w:val="22"/>
        </w:rPr>
        <w:t>attendees</w:t>
      </w:r>
    </w:p>
    <w:p w14:paraId="0C2F1A24" w14:textId="77777777" w:rsidR="00B07D60" w:rsidRDefault="00B07D60" w:rsidP="006679D3">
      <w:pPr>
        <w:pStyle w:val="ListParagraph"/>
        <w:ind w:left="360"/>
        <w:jc w:val="both"/>
        <w:rPr>
          <w:b/>
          <w:sz w:val="22"/>
        </w:rPr>
      </w:pPr>
    </w:p>
    <w:p w14:paraId="54BEBB7A" w14:textId="0C3438C6" w:rsidR="00391181" w:rsidRPr="00EF2E28" w:rsidRDefault="00366151" w:rsidP="006679D3">
      <w:pPr>
        <w:pStyle w:val="ListParagraph"/>
        <w:numPr>
          <w:ilvl w:val="0"/>
          <w:numId w:val="1"/>
        </w:numPr>
        <w:jc w:val="both"/>
        <w:rPr>
          <w:b/>
          <w:sz w:val="22"/>
        </w:rPr>
      </w:pPr>
      <w:r w:rsidRPr="00520B4B">
        <w:rPr>
          <w:sz w:val="22"/>
        </w:rPr>
        <w:t xml:space="preserve">In leu of state reports </w:t>
      </w:r>
      <w:r w:rsidR="008D0190" w:rsidRPr="00520B4B">
        <w:rPr>
          <w:sz w:val="22"/>
        </w:rPr>
        <w:t>a</w:t>
      </w:r>
      <w:r w:rsidR="008B7F8E" w:rsidRPr="00520B4B">
        <w:rPr>
          <w:sz w:val="22"/>
        </w:rPr>
        <w:t>n</w:t>
      </w:r>
      <w:r w:rsidR="008D0190" w:rsidRPr="00520B4B">
        <w:rPr>
          <w:sz w:val="22"/>
        </w:rPr>
        <w:t xml:space="preserve"> infographic was presented</w:t>
      </w:r>
      <w:r w:rsidR="008B7F8E" w:rsidRPr="00520B4B">
        <w:rPr>
          <w:sz w:val="22"/>
        </w:rPr>
        <w:t xml:space="preserve"> </w:t>
      </w:r>
      <w:r w:rsidR="000A37F3" w:rsidRPr="00520B4B">
        <w:rPr>
          <w:sz w:val="22"/>
        </w:rPr>
        <w:t xml:space="preserve">by Alyssa Koehler </w:t>
      </w:r>
      <w:r w:rsidR="008B7F8E" w:rsidRPr="00520B4B">
        <w:rPr>
          <w:sz w:val="22"/>
        </w:rPr>
        <w:t>(attached)</w:t>
      </w:r>
      <w:r w:rsidR="008D0190" w:rsidRPr="00520B4B">
        <w:rPr>
          <w:sz w:val="22"/>
        </w:rPr>
        <w:t xml:space="preserve"> from previously populated data using a Google form. </w:t>
      </w:r>
      <w:r w:rsidR="008B7F8E" w:rsidRPr="00520B4B">
        <w:rPr>
          <w:sz w:val="22"/>
        </w:rPr>
        <w:t xml:space="preserve"> </w:t>
      </w:r>
      <w:r w:rsidR="000A37F3" w:rsidRPr="00520B4B">
        <w:rPr>
          <w:sz w:val="22"/>
        </w:rPr>
        <w:t>An o</w:t>
      </w:r>
      <w:r w:rsidR="008B7F8E" w:rsidRPr="00520B4B">
        <w:rPr>
          <w:sz w:val="22"/>
        </w:rPr>
        <w:t xml:space="preserve">pen discussion of </w:t>
      </w:r>
      <w:r w:rsidR="000A37F3" w:rsidRPr="00520B4B">
        <w:rPr>
          <w:sz w:val="22"/>
        </w:rPr>
        <w:t>disease levels was initiated by Eric De</w:t>
      </w:r>
      <w:r w:rsidR="00174E0F">
        <w:rPr>
          <w:sz w:val="22"/>
        </w:rPr>
        <w:t>W</w:t>
      </w:r>
      <w:r w:rsidR="000A37F3" w:rsidRPr="00520B4B">
        <w:rPr>
          <w:sz w:val="22"/>
        </w:rPr>
        <w:t>olf.</w:t>
      </w:r>
    </w:p>
    <w:p w14:paraId="5B65C9DA" w14:textId="77777777" w:rsidR="00EF2E28" w:rsidRPr="00EF2E28" w:rsidRDefault="00EF2E28" w:rsidP="006679D3">
      <w:pPr>
        <w:pStyle w:val="ListParagraph"/>
        <w:jc w:val="both"/>
        <w:rPr>
          <w:b/>
          <w:sz w:val="22"/>
        </w:rPr>
      </w:pPr>
    </w:p>
    <w:p w14:paraId="44B12859" w14:textId="5E55BB03" w:rsidR="00EF2E28" w:rsidRPr="001B5849" w:rsidRDefault="00EF2E28" w:rsidP="006679D3">
      <w:pPr>
        <w:pStyle w:val="ListParagraph"/>
        <w:ind w:left="360"/>
        <w:jc w:val="both"/>
        <w:rPr>
          <w:bCs/>
          <w:sz w:val="22"/>
        </w:rPr>
      </w:pPr>
      <w:r w:rsidRPr="001B5849">
        <w:rPr>
          <w:bCs/>
          <w:sz w:val="22"/>
        </w:rPr>
        <w:t>Kansas – disease levels low</w:t>
      </w:r>
    </w:p>
    <w:p w14:paraId="19F4539C" w14:textId="75C42ABF" w:rsidR="00EF2E28" w:rsidRPr="001B5849" w:rsidRDefault="00EF2E28" w:rsidP="006679D3">
      <w:pPr>
        <w:pStyle w:val="ListParagraph"/>
        <w:ind w:left="360"/>
        <w:jc w:val="both"/>
        <w:rPr>
          <w:bCs/>
          <w:sz w:val="22"/>
        </w:rPr>
      </w:pPr>
      <w:r w:rsidRPr="001B5849">
        <w:rPr>
          <w:bCs/>
          <w:sz w:val="22"/>
        </w:rPr>
        <w:t xml:space="preserve">Kentucky – normal disease levels, freeze damage </w:t>
      </w:r>
    </w:p>
    <w:p w14:paraId="01A8C69E" w14:textId="611B9702" w:rsidR="00EF2E28" w:rsidRPr="001B5849" w:rsidRDefault="00EF2E28" w:rsidP="006679D3">
      <w:pPr>
        <w:pStyle w:val="ListParagraph"/>
        <w:ind w:left="360"/>
        <w:jc w:val="both"/>
        <w:rPr>
          <w:bCs/>
          <w:sz w:val="22"/>
        </w:rPr>
      </w:pPr>
      <w:r w:rsidRPr="001B5849">
        <w:rPr>
          <w:bCs/>
          <w:sz w:val="22"/>
        </w:rPr>
        <w:t>South Dakota – dry weather, low disease levels, good wheat season</w:t>
      </w:r>
    </w:p>
    <w:p w14:paraId="5C8210E5" w14:textId="33B92122" w:rsidR="00EF2E28" w:rsidRPr="001B5849" w:rsidRDefault="00EF2E28" w:rsidP="006679D3">
      <w:pPr>
        <w:pStyle w:val="ListParagraph"/>
        <w:ind w:left="360"/>
        <w:jc w:val="both"/>
        <w:rPr>
          <w:bCs/>
          <w:sz w:val="22"/>
        </w:rPr>
      </w:pPr>
      <w:r w:rsidRPr="001B5849">
        <w:rPr>
          <w:bCs/>
          <w:sz w:val="22"/>
        </w:rPr>
        <w:t>Missouri – scab issues from non-fungicide treated fields</w:t>
      </w:r>
    </w:p>
    <w:p w14:paraId="6038E18D" w14:textId="09C2E799" w:rsidR="00EF2E28" w:rsidRPr="001B5849" w:rsidRDefault="00EF2E28" w:rsidP="006679D3">
      <w:pPr>
        <w:pStyle w:val="ListParagraph"/>
        <w:ind w:left="360"/>
        <w:jc w:val="both"/>
        <w:rPr>
          <w:bCs/>
          <w:sz w:val="22"/>
        </w:rPr>
      </w:pPr>
      <w:r w:rsidRPr="001B5849">
        <w:rPr>
          <w:bCs/>
          <w:sz w:val="22"/>
        </w:rPr>
        <w:t>Arkansas – normal levels of disease, herbicide damage as usual</w:t>
      </w:r>
    </w:p>
    <w:p w14:paraId="153B9D4B" w14:textId="41C481A7" w:rsidR="00EF2E28" w:rsidRPr="001B5849" w:rsidRDefault="00EF2E28" w:rsidP="006679D3">
      <w:pPr>
        <w:pStyle w:val="ListParagraph"/>
        <w:ind w:left="360"/>
        <w:jc w:val="both"/>
        <w:rPr>
          <w:bCs/>
          <w:sz w:val="22"/>
        </w:rPr>
      </w:pPr>
      <w:r w:rsidRPr="001B5849">
        <w:rPr>
          <w:bCs/>
          <w:sz w:val="22"/>
        </w:rPr>
        <w:t>North Carolina – lower wheat acreage and lower resulting disease</w:t>
      </w:r>
    </w:p>
    <w:p w14:paraId="67E8F2B2" w14:textId="04BE9AB9" w:rsidR="009660D3" w:rsidRPr="001B5849" w:rsidRDefault="00EF2E28" w:rsidP="006679D3">
      <w:pPr>
        <w:pStyle w:val="ListParagraph"/>
        <w:ind w:left="360"/>
        <w:jc w:val="both"/>
        <w:rPr>
          <w:bCs/>
          <w:sz w:val="22"/>
        </w:rPr>
      </w:pPr>
      <w:r w:rsidRPr="001B5849">
        <w:rPr>
          <w:bCs/>
          <w:sz w:val="22"/>
        </w:rPr>
        <w:t>Delaware – low disease levels</w:t>
      </w:r>
    </w:p>
    <w:p w14:paraId="11FD1016" w14:textId="5A508AB1" w:rsidR="00366151" w:rsidRPr="001B5849" w:rsidRDefault="00EB6BAC" w:rsidP="006679D3">
      <w:pPr>
        <w:pStyle w:val="ListParagraph"/>
        <w:ind w:left="360"/>
        <w:jc w:val="both"/>
        <w:rPr>
          <w:bCs/>
          <w:sz w:val="22"/>
        </w:rPr>
      </w:pPr>
      <w:r w:rsidRPr="001B5849">
        <w:rPr>
          <w:bCs/>
          <w:sz w:val="22"/>
        </w:rPr>
        <w:t xml:space="preserve">New York – </w:t>
      </w:r>
      <w:r w:rsidR="00EF2E28" w:rsidRPr="001B5849">
        <w:rPr>
          <w:bCs/>
          <w:sz w:val="22"/>
        </w:rPr>
        <w:t xml:space="preserve">More fungal diversity in barley than wheat, in drier years more </w:t>
      </w:r>
      <w:r w:rsidRPr="001B5849">
        <w:rPr>
          <w:bCs/>
          <w:sz w:val="22"/>
        </w:rPr>
        <w:t>nivalenol</w:t>
      </w:r>
      <w:r w:rsidR="001B5849" w:rsidRPr="001B5849">
        <w:rPr>
          <w:bCs/>
          <w:sz w:val="22"/>
        </w:rPr>
        <w:t xml:space="preserve"> rather than deoxynivalenol from </w:t>
      </w:r>
      <w:r w:rsidR="001B5849" w:rsidRPr="001B5849">
        <w:rPr>
          <w:bCs/>
          <w:i/>
          <w:iCs/>
          <w:sz w:val="22"/>
        </w:rPr>
        <w:t xml:space="preserve">Fusarium </w:t>
      </w:r>
      <w:proofErr w:type="spellStart"/>
      <w:r w:rsidR="001B5849" w:rsidRPr="001B5849">
        <w:rPr>
          <w:bCs/>
          <w:i/>
          <w:iCs/>
          <w:sz w:val="22"/>
        </w:rPr>
        <w:t>poe</w:t>
      </w:r>
      <w:proofErr w:type="spellEnd"/>
      <w:r w:rsidR="001B5849" w:rsidRPr="001B5849">
        <w:rPr>
          <w:bCs/>
          <w:sz w:val="22"/>
        </w:rPr>
        <w:t xml:space="preserve"> rather than </w:t>
      </w:r>
      <w:r w:rsidR="001B5849" w:rsidRPr="001B5849">
        <w:rPr>
          <w:bCs/>
          <w:i/>
          <w:iCs/>
          <w:sz w:val="22"/>
        </w:rPr>
        <w:t xml:space="preserve">F. </w:t>
      </w:r>
      <w:proofErr w:type="spellStart"/>
      <w:r w:rsidR="001B5849" w:rsidRPr="001B5849">
        <w:rPr>
          <w:bCs/>
          <w:i/>
          <w:iCs/>
          <w:sz w:val="22"/>
        </w:rPr>
        <w:t>graminearum</w:t>
      </w:r>
      <w:proofErr w:type="spellEnd"/>
      <w:r w:rsidR="001B5849">
        <w:rPr>
          <w:bCs/>
          <w:i/>
          <w:iCs/>
          <w:sz w:val="22"/>
        </w:rPr>
        <w:t xml:space="preserve">, </w:t>
      </w:r>
      <w:r w:rsidR="001B5849" w:rsidRPr="001B5849">
        <w:rPr>
          <w:bCs/>
          <w:sz w:val="22"/>
        </w:rPr>
        <w:t xml:space="preserve">diversity could be an issue </w:t>
      </w:r>
      <w:r w:rsidR="001B5849">
        <w:rPr>
          <w:bCs/>
          <w:sz w:val="22"/>
        </w:rPr>
        <w:t>and yield</w:t>
      </w:r>
      <w:r w:rsidR="001B5849" w:rsidRPr="001B5849">
        <w:rPr>
          <w:bCs/>
          <w:sz w:val="22"/>
        </w:rPr>
        <w:t xml:space="preserve"> menagerie of mycotoxins</w:t>
      </w:r>
    </w:p>
    <w:p w14:paraId="4CCB2D2D" w14:textId="77777777" w:rsidR="001B5849" w:rsidRPr="001B5849" w:rsidRDefault="001B5849" w:rsidP="006679D3">
      <w:pPr>
        <w:pStyle w:val="ListParagraph"/>
        <w:ind w:left="360"/>
        <w:jc w:val="both"/>
        <w:rPr>
          <w:bCs/>
          <w:sz w:val="22"/>
        </w:rPr>
      </w:pPr>
    </w:p>
    <w:p w14:paraId="4A31808C" w14:textId="77777777" w:rsidR="00520B4B" w:rsidRPr="00366151" w:rsidRDefault="00520B4B" w:rsidP="006679D3">
      <w:pPr>
        <w:pStyle w:val="ListParagraph"/>
        <w:ind w:left="360"/>
        <w:jc w:val="both"/>
        <w:rPr>
          <w:sz w:val="22"/>
        </w:rPr>
      </w:pPr>
    </w:p>
    <w:p w14:paraId="1EE3463E" w14:textId="2C82A885" w:rsidR="0015497C" w:rsidRPr="00816ECD" w:rsidRDefault="00EB6BAC" w:rsidP="006679D3">
      <w:pPr>
        <w:pStyle w:val="ListParagraph"/>
        <w:numPr>
          <w:ilvl w:val="0"/>
          <w:numId w:val="1"/>
        </w:numPr>
        <w:jc w:val="both"/>
        <w:rPr>
          <w:b/>
          <w:sz w:val="22"/>
        </w:rPr>
      </w:pPr>
      <w:r>
        <w:rPr>
          <w:b/>
          <w:sz w:val="22"/>
        </w:rPr>
        <w:t xml:space="preserve">Joe </w:t>
      </w:r>
      <w:proofErr w:type="spellStart"/>
      <w:r>
        <w:rPr>
          <w:b/>
          <w:sz w:val="22"/>
        </w:rPr>
        <w:t>Lafor</w:t>
      </w:r>
      <w:r w:rsidR="001B5849">
        <w:rPr>
          <w:b/>
          <w:sz w:val="22"/>
        </w:rPr>
        <w:t>r</w:t>
      </w:r>
      <w:r>
        <w:rPr>
          <w:b/>
          <w:sz w:val="22"/>
        </w:rPr>
        <w:t>est</w:t>
      </w:r>
      <w:proofErr w:type="spellEnd"/>
      <w:r>
        <w:rPr>
          <w:b/>
          <w:sz w:val="22"/>
        </w:rPr>
        <w:t xml:space="preserve"> </w:t>
      </w:r>
      <w:r w:rsidR="00020B77">
        <w:rPr>
          <w:b/>
          <w:sz w:val="22"/>
        </w:rPr>
        <w:t>–</w:t>
      </w:r>
      <w:r>
        <w:rPr>
          <w:b/>
          <w:sz w:val="22"/>
        </w:rPr>
        <w:t xml:space="preserve"> </w:t>
      </w:r>
      <w:r w:rsidR="00020B77" w:rsidRPr="00020B77">
        <w:rPr>
          <w:bCs/>
          <w:sz w:val="22"/>
        </w:rPr>
        <w:t>presented</w:t>
      </w:r>
      <w:r w:rsidR="00020B77">
        <w:rPr>
          <w:b/>
          <w:sz w:val="22"/>
        </w:rPr>
        <w:t xml:space="preserve"> </w:t>
      </w:r>
      <w:r w:rsidR="00820E9D">
        <w:rPr>
          <w:bCs/>
          <w:sz w:val="22"/>
        </w:rPr>
        <w:t>st</w:t>
      </w:r>
      <w:r w:rsidR="00816ECD">
        <w:rPr>
          <w:bCs/>
          <w:sz w:val="22"/>
        </w:rPr>
        <w:t>at</w:t>
      </w:r>
      <w:r w:rsidR="00820E9D">
        <w:rPr>
          <w:bCs/>
          <w:sz w:val="22"/>
        </w:rPr>
        <w:t xml:space="preserve">e reporting </w:t>
      </w:r>
      <w:r w:rsidR="00816ECD">
        <w:rPr>
          <w:bCs/>
          <w:sz w:val="22"/>
        </w:rPr>
        <w:t>in 2020 for stripe rust, leaf rust, and stem rust</w:t>
      </w:r>
    </w:p>
    <w:p w14:paraId="4B8DC041" w14:textId="1AB858F9" w:rsidR="00D1713F" w:rsidRPr="001B5849" w:rsidRDefault="00952BA1" w:rsidP="006679D3">
      <w:pPr>
        <w:pStyle w:val="ListParagraph"/>
        <w:ind w:left="360"/>
        <w:jc w:val="both"/>
        <w:rPr>
          <w:bCs/>
          <w:sz w:val="22"/>
        </w:rPr>
      </w:pPr>
      <w:r>
        <w:rPr>
          <w:bCs/>
          <w:sz w:val="22"/>
        </w:rPr>
        <w:t xml:space="preserve">In total, there were </w:t>
      </w:r>
      <w:r w:rsidR="00457C9E" w:rsidRPr="00567921">
        <w:rPr>
          <w:bCs/>
          <w:sz w:val="22"/>
        </w:rPr>
        <w:t>138 stripe rust reports, 4 leaf rust reports, and 1 stem rust report</w:t>
      </w:r>
      <w:r w:rsidR="001B5849">
        <w:rPr>
          <w:bCs/>
          <w:sz w:val="22"/>
        </w:rPr>
        <w:t>. S</w:t>
      </w:r>
      <w:r w:rsidR="00D1713F" w:rsidRPr="001B5849">
        <w:rPr>
          <w:bCs/>
          <w:sz w:val="22"/>
        </w:rPr>
        <w:t xml:space="preserve">ome states did not participate in reporting to </w:t>
      </w:r>
      <w:r w:rsidR="00F06AB2" w:rsidRPr="001B5849">
        <w:rPr>
          <w:bCs/>
          <w:sz w:val="22"/>
        </w:rPr>
        <w:t>A</w:t>
      </w:r>
      <w:r w:rsidR="00D1713F" w:rsidRPr="001B5849">
        <w:rPr>
          <w:bCs/>
          <w:sz w:val="22"/>
        </w:rPr>
        <w:t xml:space="preserve">g </w:t>
      </w:r>
      <w:r w:rsidR="00F06AB2" w:rsidRPr="001B5849">
        <w:rPr>
          <w:bCs/>
          <w:sz w:val="22"/>
        </w:rPr>
        <w:t>P</w:t>
      </w:r>
      <w:r w:rsidR="00D1713F" w:rsidRPr="001B5849">
        <w:rPr>
          <w:bCs/>
          <w:sz w:val="22"/>
        </w:rPr>
        <w:t xml:space="preserve">est </w:t>
      </w:r>
      <w:r w:rsidR="00F06AB2" w:rsidRPr="001B5849">
        <w:rPr>
          <w:bCs/>
          <w:sz w:val="22"/>
        </w:rPr>
        <w:t>M</w:t>
      </w:r>
      <w:r w:rsidR="00D1713F" w:rsidRPr="001B5849">
        <w:rPr>
          <w:bCs/>
          <w:sz w:val="22"/>
        </w:rPr>
        <w:t>onitor</w:t>
      </w:r>
      <w:r w:rsidR="001B5849">
        <w:rPr>
          <w:bCs/>
          <w:sz w:val="22"/>
        </w:rPr>
        <w:t>.</w:t>
      </w:r>
    </w:p>
    <w:p w14:paraId="73361E52" w14:textId="77777777" w:rsidR="001B5849" w:rsidRDefault="001B5849" w:rsidP="006679D3">
      <w:pPr>
        <w:pStyle w:val="ListParagraph"/>
        <w:ind w:left="360"/>
        <w:jc w:val="both"/>
        <w:rPr>
          <w:bCs/>
          <w:sz w:val="22"/>
        </w:rPr>
      </w:pPr>
    </w:p>
    <w:p w14:paraId="4BA29CD7" w14:textId="31720FC0" w:rsidR="00CC3BBF" w:rsidRDefault="00952BA1" w:rsidP="006679D3">
      <w:pPr>
        <w:pStyle w:val="ListParagraph"/>
        <w:ind w:left="360"/>
        <w:jc w:val="both"/>
        <w:rPr>
          <w:bCs/>
          <w:sz w:val="22"/>
        </w:rPr>
      </w:pPr>
      <w:r>
        <w:rPr>
          <w:bCs/>
          <w:sz w:val="22"/>
        </w:rPr>
        <w:t>The group had an o</w:t>
      </w:r>
      <w:r w:rsidR="009B6828" w:rsidRPr="00567921">
        <w:rPr>
          <w:bCs/>
          <w:sz w:val="22"/>
        </w:rPr>
        <w:t>pen discussion on the importance of map</w:t>
      </w:r>
      <w:r w:rsidR="00520B4B" w:rsidRPr="00567921">
        <w:rPr>
          <w:bCs/>
          <w:sz w:val="22"/>
        </w:rPr>
        <w:t>p</w:t>
      </w:r>
      <w:r w:rsidR="009B6828" w:rsidRPr="00567921">
        <w:rPr>
          <w:bCs/>
          <w:sz w:val="22"/>
        </w:rPr>
        <w:t>ing</w:t>
      </w:r>
      <w:r w:rsidR="002D0DA8" w:rsidRPr="00567921">
        <w:rPr>
          <w:bCs/>
          <w:sz w:val="22"/>
        </w:rPr>
        <w:t xml:space="preserve">.  The group </w:t>
      </w:r>
      <w:r w:rsidR="00BC592F" w:rsidRPr="00567921">
        <w:rPr>
          <w:bCs/>
          <w:sz w:val="22"/>
        </w:rPr>
        <w:t xml:space="preserve">indicated that </w:t>
      </w:r>
      <w:r w:rsidR="00A523E7" w:rsidRPr="00567921">
        <w:rPr>
          <w:bCs/>
          <w:sz w:val="22"/>
        </w:rPr>
        <w:t xml:space="preserve">stripe rust reporting </w:t>
      </w:r>
      <w:r w:rsidR="00567921" w:rsidRPr="00567921">
        <w:rPr>
          <w:bCs/>
          <w:sz w:val="22"/>
        </w:rPr>
        <w:t xml:space="preserve">was the most </w:t>
      </w:r>
      <w:r w:rsidR="00F06AB2" w:rsidRPr="00567921">
        <w:rPr>
          <w:bCs/>
          <w:sz w:val="22"/>
        </w:rPr>
        <w:t>important,</w:t>
      </w:r>
      <w:r w:rsidR="00567921" w:rsidRPr="00567921">
        <w:rPr>
          <w:bCs/>
          <w:sz w:val="22"/>
        </w:rPr>
        <w:t xml:space="preserve"> but others indicated that leaf rust and stem rust will be reported for their state.</w:t>
      </w:r>
      <w:r w:rsidR="006066DC">
        <w:rPr>
          <w:bCs/>
          <w:sz w:val="22"/>
        </w:rPr>
        <w:t xml:space="preserve"> Specific sighting </w:t>
      </w:r>
      <w:r w:rsidR="00E91381">
        <w:rPr>
          <w:bCs/>
          <w:sz w:val="22"/>
        </w:rPr>
        <w:t xml:space="preserve">(incidence, severity, and field-level location data) </w:t>
      </w:r>
      <w:r w:rsidR="006066DC">
        <w:rPr>
          <w:bCs/>
          <w:sz w:val="22"/>
        </w:rPr>
        <w:t>data w</w:t>
      </w:r>
      <w:r w:rsidR="00515CAE">
        <w:rPr>
          <w:bCs/>
          <w:sz w:val="22"/>
        </w:rPr>
        <w:t xml:space="preserve">ill </w:t>
      </w:r>
      <w:r w:rsidR="006066DC">
        <w:rPr>
          <w:bCs/>
          <w:sz w:val="22"/>
        </w:rPr>
        <w:t>not</w:t>
      </w:r>
      <w:r w:rsidR="00E91381">
        <w:rPr>
          <w:bCs/>
          <w:sz w:val="22"/>
        </w:rPr>
        <w:t xml:space="preserve"> </w:t>
      </w:r>
      <w:r w:rsidR="00515CAE">
        <w:rPr>
          <w:bCs/>
          <w:sz w:val="22"/>
        </w:rPr>
        <w:t xml:space="preserve">be included in the site reporting.  It was indicated that the </w:t>
      </w:r>
      <w:r w:rsidR="00CC3BBF">
        <w:rPr>
          <w:bCs/>
          <w:sz w:val="22"/>
        </w:rPr>
        <w:t xml:space="preserve">Android </w:t>
      </w:r>
      <w:r w:rsidR="00515CAE">
        <w:rPr>
          <w:bCs/>
          <w:sz w:val="22"/>
        </w:rPr>
        <w:t xml:space="preserve">app </w:t>
      </w:r>
      <w:r w:rsidR="00CC3BBF">
        <w:rPr>
          <w:bCs/>
          <w:sz w:val="22"/>
        </w:rPr>
        <w:t>is functional however the iOS version has bugs.  This is a continuing issue that will hopefully be resolved in 2021.</w:t>
      </w:r>
    </w:p>
    <w:p w14:paraId="2B934BAE" w14:textId="4CCB162C" w:rsidR="006054B2" w:rsidRDefault="006054B2" w:rsidP="006679D3">
      <w:pPr>
        <w:pStyle w:val="ListParagraph"/>
        <w:ind w:left="360"/>
        <w:jc w:val="both"/>
        <w:rPr>
          <w:bCs/>
          <w:sz w:val="22"/>
        </w:rPr>
      </w:pPr>
    </w:p>
    <w:p w14:paraId="5D1F453B" w14:textId="679113BE" w:rsidR="00D1713F" w:rsidRPr="009E59F0" w:rsidRDefault="006054B2" w:rsidP="006679D3">
      <w:pPr>
        <w:pStyle w:val="ListParagraph"/>
        <w:ind w:left="360"/>
        <w:jc w:val="both"/>
        <w:rPr>
          <w:bCs/>
          <w:sz w:val="22"/>
        </w:rPr>
      </w:pPr>
      <w:r>
        <w:rPr>
          <w:bCs/>
          <w:sz w:val="22"/>
        </w:rPr>
        <w:t xml:space="preserve">The group discussion pivoted to the inclusion of scab.  </w:t>
      </w:r>
      <w:r w:rsidR="001B5849">
        <w:rPr>
          <w:bCs/>
          <w:sz w:val="22"/>
        </w:rPr>
        <w:t>There</w:t>
      </w:r>
      <w:r w:rsidR="00C64AF8">
        <w:rPr>
          <w:bCs/>
          <w:sz w:val="22"/>
        </w:rPr>
        <w:t xml:space="preserve"> was concern over the economic impact of </w:t>
      </w:r>
      <w:r w:rsidR="00A246F3">
        <w:rPr>
          <w:bCs/>
          <w:sz w:val="22"/>
        </w:rPr>
        <w:t>real-time</w:t>
      </w:r>
      <w:r w:rsidR="00C64AF8">
        <w:rPr>
          <w:bCs/>
          <w:sz w:val="22"/>
        </w:rPr>
        <w:t xml:space="preserve"> scab </w:t>
      </w:r>
      <w:r w:rsidR="00A246F3">
        <w:rPr>
          <w:bCs/>
          <w:sz w:val="22"/>
        </w:rPr>
        <w:t>mapping</w:t>
      </w:r>
      <w:r w:rsidR="00C64AF8">
        <w:rPr>
          <w:bCs/>
          <w:sz w:val="22"/>
        </w:rPr>
        <w:t xml:space="preserve"> with respect to grain buyers.  Also, the FHB incidence </w:t>
      </w:r>
      <w:r w:rsidR="009E515F">
        <w:rPr>
          <w:bCs/>
          <w:sz w:val="22"/>
        </w:rPr>
        <w:t xml:space="preserve">would likely be too general </w:t>
      </w:r>
      <w:r w:rsidR="006679D3">
        <w:rPr>
          <w:bCs/>
          <w:sz w:val="22"/>
        </w:rPr>
        <w:t>at</w:t>
      </w:r>
      <w:r w:rsidR="009E515F">
        <w:rPr>
          <w:bCs/>
          <w:sz w:val="22"/>
        </w:rPr>
        <w:t xml:space="preserve"> county level reporting without severity included as well. </w:t>
      </w:r>
      <w:r w:rsidR="00030F24">
        <w:rPr>
          <w:bCs/>
          <w:sz w:val="22"/>
        </w:rPr>
        <w:t xml:space="preserve">  It was mentioned that the data could be used privately among </w:t>
      </w:r>
      <w:r w:rsidR="001B5849">
        <w:rPr>
          <w:bCs/>
          <w:sz w:val="22"/>
        </w:rPr>
        <w:t>specialists</w:t>
      </w:r>
      <w:r w:rsidR="00030F24">
        <w:rPr>
          <w:bCs/>
          <w:sz w:val="22"/>
        </w:rPr>
        <w:t xml:space="preserve"> and not rel</w:t>
      </w:r>
      <w:r w:rsidR="009E59F0">
        <w:rPr>
          <w:bCs/>
          <w:sz w:val="22"/>
        </w:rPr>
        <w:t>eased until after the season to the public.</w:t>
      </w:r>
      <w:r w:rsidR="009E515F">
        <w:rPr>
          <w:bCs/>
          <w:sz w:val="22"/>
        </w:rPr>
        <w:t xml:space="preserve"> </w:t>
      </w:r>
    </w:p>
    <w:p w14:paraId="7271110B" w14:textId="77777777" w:rsidR="00457C9E" w:rsidRPr="00441351" w:rsidRDefault="00457C9E" w:rsidP="006679D3">
      <w:pPr>
        <w:pStyle w:val="ListParagraph"/>
        <w:ind w:left="360"/>
        <w:jc w:val="both"/>
        <w:rPr>
          <w:b/>
          <w:sz w:val="22"/>
        </w:rPr>
      </w:pPr>
    </w:p>
    <w:p w14:paraId="10588DD7" w14:textId="207DF96F" w:rsidR="0036293C" w:rsidRPr="0036293C" w:rsidRDefault="009E59F0" w:rsidP="006679D3">
      <w:pPr>
        <w:pStyle w:val="ListParagraph"/>
        <w:numPr>
          <w:ilvl w:val="0"/>
          <w:numId w:val="1"/>
        </w:numPr>
        <w:jc w:val="both"/>
        <w:rPr>
          <w:b/>
          <w:sz w:val="22"/>
        </w:rPr>
      </w:pPr>
      <w:r>
        <w:rPr>
          <w:b/>
          <w:sz w:val="22"/>
        </w:rPr>
        <w:t xml:space="preserve">Andrew </w:t>
      </w:r>
      <w:proofErr w:type="spellStart"/>
      <w:r>
        <w:rPr>
          <w:b/>
          <w:sz w:val="22"/>
        </w:rPr>
        <w:t>Friskop</w:t>
      </w:r>
      <w:proofErr w:type="spellEnd"/>
      <w:r>
        <w:rPr>
          <w:b/>
          <w:sz w:val="22"/>
        </w:rPr>
        <w:t xml:space="preserve"> – wheat disease loss</w:t>
      </w:r>
      <w:r w:rsidR="006A1D34">
        <w:rPr>
          <w:b/>
          <w:sz w:val="22"/>
        </w:rPr>
        <w:t xml:space="preserve"> estimates</w:t>
      </w:r>
      <w:r>
        <w:rPr>
          <w:b/>
          <w:sz w:val="22"/>
        </w:rPr>
        <w:t xml:space="preserve"> for </w:t>
      </w:r>
      <w:r w:rsidR="00316F6D">
        <w:rPr>
          <w:b/>
          <w:sz w:val="22"/>
        </w:rPr>
        <w:t>201</w:t>
      </w:r>
      <w:r w:rsidR="006A1D34">
        <w:rPr>
          <w:b/>
          <w:sz w:val="22"/>
        </w:rPr>
        <w:t>8</w:t>
      </w:r>
      <w:r w:rsidR="00316F6D">
        <w:rPr>
          <w:b/>
          <w:sz w:val="22"/>
        </w:rPr>
        <w:t xml:space="preserve"> - </w:t>
      </w:r>
      <w:r>
        <w:rPr>
          <w:b/>
          <w:sz w:val="22"/>
        </w:rPr>
        <w:t>20</w:t>
      </w:r>
      <w:r w:rsidR="00316F6D">
        <w:rPr>
          <w:b/>
          <w:sz w:val="22"/>
        </w:rPr>
        <w:t xml:space="preserve">20.  </w:t>
      </w:r>
      <w:r w:rsidR="007120A8">
        <w:rPr>
          <w:bCs/>
          <w:sz w:val="22"/>
        </w:rPr>
        <w:t>Modeled afte</w:t>
      </w:r>
      <w:r w:rsidR="006679D3">
        <w:rPr>
          <w:bCs/>
          <w:sz w:val="22"/>
        </w:rPr>
        <w:t>r</w:t>
      </w:r>
      <w:r w:rsidR="007120A8">
        <w:rPr>
          <w:bCs/>
          <w:sz w:val="22"/>
        </w:rPr>
        <w:t xml:space="preserve"> the corn and soybean </w:t>
      </w:r>
      <w:r w:rsidR="005953FF">
        <w:rPr>
          <w:bCs/>
          <w:sz w:val="22"/>
        </w:rPr>
        <w:t xml:space="preserve">disease loss estimates.  </w:t>
      </w:r>
      <w:r w:rsidR="006679D3">
        <w:rPr>
          <w:bCs/>
          <w:sz w:val="22"/>
        </w:rPr>
        <w:t>A d</w:t>
      </w:r>
      <w:r w:rsidR="005953FF">
        <w:rPr>
          <w:bCs/>
          <w:sz w:val="22"/>
        </w:rPr>
        <w:t xml:space="preserve">isease loss calculator </w:t>
      </w:r>
      <w:r w:rsidR="006679D3">
        <w:rPr>
          <w:bCs/>
          <w:sz w:val="22"/>
        </w:rPr>
        <w:t xml:space="preserve">is located </w:t>
      </w:r>
      <w:r w:rsidR="005953FF">
        <w:rPr>
          <w:bCs/>
          <w:sz w:val="22"/>
        </w:rPr>
        <w:t>on C</w:t>
      </w:r>
      <w:r w:rsidR="006679D3">
        <w:rPr>
          <w:bCs/>
          <w:sz w:val="22"/>
        </w:rPr>
        <w:t xml:space="preserve">rop </w:t>
      </w:r>
      <w:r w:rsidR="005953FF">
        <w:rPr>
          <w:bCs/>
          <w:sz w:val="22"/>
        </w:rPr>
        <w:t>P</w:t>
      </w:r>
      <w:r w:rsidR="006679D3">
        <w:rPr>
          <w:bCs/>
          <w:sz w:val="22"/>
        </w:rPr>
        <w:t xml:space="preserve">rotection </w:t>
      </w:r>
      <w:r w:rsidR="005953FF">
        <w:rPr>
          <w:bCs/>
          <w:sz w:val="22"/>
        </w:rPr>
        <w:t>N</w:t>
      </w:r>
      <w:r w:rsidR="006679D3">
        <w:rPr>
          <w:bCs/>
          <w:sz w:val="22"/>
        </w:rPr>
        <w:t>etwork</w:t>
      </w:r>
      <w:r w:rsidR="005953FF">
        <w:rPr>
          <w:bCs/>
          <w:sz w:val="22"/>
        </w:rPr>
        <w:t xml:space="preserve">.  </w:t>
      </w:r>
    </w:p>
    <w:p w14:paraId="02E4EE78" w14:textId="7E7E8367" w:rsidR="00187E34" w:rsidRPr="00187E34" w:rsidRDefault="0036293C" w:rsidP="006679D3">
      <w:pPr>
        <w:pStyle w:val="ListParagraph"/>
        <w:ind w:left="1080"/>
        <w:jc w:val="both"/>
        <w:rPr>
          <w:b/>
          <w:sz w:val="22"/>
        </w:rPr>
      </w:pPr>
      <w:r>
        <w:rPr>
          <w:b/>
          <w:sz w:val="22"/>
        </w:rPr>
        <w:t xml:space="preserve">2018 </w:t>
      </w:r>
      <w:r w:rsidR="00D73282">
        <w:rPr>
          <w:b/>
          <w:sz w:val="22"/>
        </w:rPr>
        <w:t>–</w:t>
      </w:r>
      <w:r>
        <w:rPr>
          <w:b/>
          <w:sz w:val="22"/>
        </w:rPr>
        <w:t xml:space="preserve"> </w:t>
      </w:r>
      <w:r w:rsidR="006679D3" w:rsidRPr="006679D3">
        <w:rPr>
          <w:bCs/>
          <w:sz w:val="22"/>
        </w:rPr>
        <w:t>The</w:t>
      </w:r>
      <w:r w:rsidR="006679D3">
        <w:rPr>
          <w:b/>
          <w:sz w:val="22"/>
        </w:rPr>
        <w:t xml:space="preserve"> </w:t>
      </w:r>
      <w:r w:rsidR="00D73282">
        <w:rPr>
          <w:bCs/>
          <w:sz w:val="22"/>
        </w:rPr>
        <w:t xml:space="preserve">highest disease losses were </w:t>
      </w:r>
      <w:r w:rsidR="004E2CC1">
        <w:rPr>
          <w:bCs/>
          <w:sz w:val="22"/>
        </w:rPr>
        <w:t xml:space="preserve">estimated to be </w:t>
      </w:r>
      <w:r w:rsidR="00D73282">
        <w:rPr>
          <w:bCs/>
          <w:sz w:val="22"/>
        </w:rPr>
        <w:t>scab and Septoria leaf and glume blotch</w:t>
      </w:r>
      <w:r w:rsidR="006679D3">
        <w:rPr>
          <w:bCs/>
          <w:sz w:val="22"/>
        </w:rPr>
        <w:t>.</w:t>
      </w:r>
    </w:p>
    <w:p w14:paraId="61554274" w14:textId="46DF459D" w:rsidR="0015497C" w:rsidRPr="0081136D" w:rsidRDefault="00187E34" w:rsidP="006679D3">
      <w:pPr>
        <w:pStyle w:val="ListParagraph"/>
        <w:ind w:left="1080"/>
        <w:jc w:val="both"/>
        <w:rPr>
          <w:b/>
          <w:sz w:val="22"/>
        </w:rPr>
      </w:pPr>
      <w:r>
        <w:rPr>
          <w:b/>
          <w:sz w:val="22"/>
        </w:rPr>
        <w:t xml:space="preserve">2019 </w:t>
      </w:r>
      <w:r w:rsidR="006679D3">
        <w:rPr>
          <w:b/>
          <w:sz w:val="22"/>
        </w:rPr>
        <w:t>–</w:t>
      </w:r>
      <w:r w:rsidR="0081136D">
        <w:rPr>
          <w:b/>
          <w:sz w:val="22"/>
        </w:rPr>
        <w:t xml:space="preserve"> </w:t>
      </w:r>
      <w:r w:rsidR="006679D3" w:rsidRPr="006679D3">
        <w:rPr>
          <w:bCs/>
          <w:sz w:val="22"/>
        </w:rPr>
        <w:t>The</w:t>
      </w:r>
      <w:r w:rsidR="006679D3">
        <w:rPr>
          <w:b/>
          <w:sz w:val="22"/>
        </w:rPr>
        <w:t xml:space="preserve"> </w:t>
      </w:r>
      <w:r w:rsidR="0081136D" w:rsidRPr="0081136D">
        <w:rPr>
          <w:bCs/>
          <w:sz w:val="22"/>
        </w:rPr>
        <w:t>highest</w:t>
      </w:r>
      <w:r w:rsidR="00712DBE">
        <w:rPr>
          <w:bCs/>
          <w:sz w:val="22"/>
        </w:rPr>
        <w:t xml:space="preserve"> disease losses were estimated to be scab</w:t>
      </w:r>
      <w:r w:rsidR="0081136D">
        <w:rPr>
          <w:bCs/>
          <w:sz w:val="22"/>
        </w:rPr>
        <w:t>, leaf rust,</w:t>
      </w:r>
      <w:r w:rsidR="00712DBE">
        <w:rPr>
          <w:bCs/>
          <w:sz w:val="22"/>
        </w:rPr>
        <w:t xml:space="preserve"> and Septoria leaf and glume blotch</w:t>
      </w:r>
      <w:r w:rsidR="006679D3">
        <w:rPr>
          <w:bCs/>
          <w:sz w:val="22"/>
        </w:rPr>
        <w:t>.</w:t>
      </w:r>
    </w:p>
    <w:p w14:paraId="6E5A7086" w14:textId="1FA2E2B0" w:rsidR="00515859" w:rsidRPr="0081136D" w:rsidRDefault="0081136D" w:rsidP="006679D3">
      <w:pPr>
        <w:pStyle w:val="ListParagraph"/>
        <w:ind w:left="1080"/>
        <w:jc w:val="both"/>
        <w:rPr>
          <w:b/>
          <w:sz w:val="22"/>
        </w:rPr>
      </w:pPr>
      <w:r>
        <w:rPr>
          <w:b/>
          <w:sz w:val="22"/>
        </w:rPr>
        <w:t xml:space="preserve">2020 </w:t>
      </w:r>
      <w:r w:rsidR="00515859">
        <w:rPr>
          <w:b/>
          <w:sz w:val="22"/>
        </w:rPr>
        <w:t>–</w:t>
      </w:r>
      <w:r>
        <w:rPr>
          <w:b/>
          <w:sz w:val="22"/>
        </w:rPr>
        <w:t xml:space="preserve"> </w:t>
      </w:r>
      <w:r w:rsidR="00515859" w:rsidRPr="006679D3">
        <w:rPr>
          <w:bCs/>
          <w:sz w:val="22"/>
        </w:rPr>
        <w:t>estimates received from 22 states</w:t>
      </w:r>
      <w:r w:rsidR="00515859">
        <w:rPr>
          <w:b/>
          <w:sz w:val="22"/>
        </w:rPr>
        <w:t xml:space="preserve">.  </w:t>
      </w:r>
      <w:r w:rsidR="006679D3" w:rsidRPr="006679D3">
        <w:rPr>
          <w:bCs/>
          <w:sz w:val="22"/>
        </w:rPr>
        <w:t>The</w:t>
      </w:r>
      <w:r w:rsidR="006679D3">
        <w:rPr>
          <w:b/>
          <w:sz w:val="22"/>
        </w:rPr>
        <w:t xml:space="preserve"> </w:t>
      </w:r>
      <w:r w:rsidR="00515859" w:rsidRPr="0081136D">
        <w:rPr>
          <w:bCs/>
          <w:sz w:val="22"/>
        </w:rPr>
        <w:t>highest</w:t>
      </w:r>
      <w:r w:rsidR="00515859">
        <w:rPr>
          <w:bCs/>
          <w:sz w:val="22"/>
        </w:rPr>
        <w:t xml:space="preserve"> disease losses were estimated to be scab, Septoria leaf sand glume blotch</w:t>
      </w:r>
      <w:r w:rsidR="00226ABD">
        <w:rPr>
          <w:bCs/>
          <w:sz w:val="22"/>
        </w:rPr>
        <w:t xml:space="preserve"> and leaf rust</w:t>
      </w:r>
      <w:r w:rsidR="006679D3">
        <w:rPr>
          <w:bCs/>
          <w:sz w:val="22"/>
        </w:rPr>
        <w:t>.</w:t>
      </w:r>
    </w:p>
    <w:p w14:paraId="0FECBB12" w14:textId="68654E13" w:rsidR="009C0AB4" w:rsidRDefault="00F77A07" w:rsidP="006679D3">
      <w:pPr>
        <w:jc w:val="both"/>
        <w:rPr>
          <w:b/>
          <w:sz w:val="22"/>
        </w:rPr>
      </w:pPr>
      <w:r>
        <w:rPr>
          <w:b/>
          <w:sz w:val="22"/>
        </w:rPr>
        <w:t xml:space="preserve">       </w:t>
      </w:r>
    </w:p>
    <w:p w14:paraId="117112DD" w14:textId="750E26EF" w:rsidR="00F77A07" w:rsidRDefault="00F77A07" w:rsidP="006679D3">
      <w:pPr>
        <w:ind w:left="720"/>
        <w:jc w:val="both"/>
        <w:rPr>
          <w:bCs/>
          <w:sz w:val="22"/>
        </w:rPr>
      </w:pPr>
      <w:r>
        <w:rPr>
          <w:b/>
          <w:sz w:val="22"/>
        </w:rPr>
        <w:t xml:space="preserve">       </w:t>
      </w:r>
      <w:r w:rsidR="006679D3" w:rsidRPr="006679D3">
        <w:rPr>
          <w:bCs/>
          <w:sz w:val="22"/>
        </w:rPr>
        <w:t>Further</w:t>
      </w:r>
      <w:r w:rsidR="006679D3">
        <w:rPr>
          <w:b/>
          <w:sz w:val="22"/>
        </w:rPr>
        <w:t xml:space="preserve"> </w:t>
      </w:r>
      <w:r w:rsidR="006679D3">
        <w:rPr>
          <w:bCs/>
          <w:sz w:val="22"/>
        </w:rPr>
        <w:t>d</w:t>
      </w:r>
      <w:r w:rsidRPr="00CE3066">
        <w:rPr>
          <w:bCs/>
          <w:sz w:val="22"/>
        </w:rPr>
        <w:t xml:space="preserve">iscussion on </w:t>
      </w:r>
      <w:r w:rsidR="008D1A5E" w:rsidRPr="00CE3066">
        <w:rPr>
          <w:bCs/>
          <w:sz w:val="22"/>
        </w:rPr>
        <w:t xml:space="preserve">data </w:t>
      </w:r>
      <w:r w:rsidR="00CE3066" w:rsidRPr="00CE3066">
        <w:rPr>
          <w:bCs/>
          <w:sz w:val="22"/>
        </w:rPr>
        <w:t>granularity</w:t>
      </w:r>
      <w:r w:rsidR="008D1A5E" w:rsidRPr="00CE3066">
        <w:rPr>
          <w:bCs/>
          <w:sz w:val="22"/>
        </w:rPr>
        <w:t xml:space="preserve"> and reporting</w:t>
      </w:r>
      <w:r w:rsidR="00DA36AF" w:rsidRPr="00CE3066">
        <w:rPr>
          <w:bCs/>
          <w:sz w:val="22"/>
        </w:rPr>
        <w:t xml:space="preserve"> for FHB</w:t>
      </w:r>
      <w:r w:rsidR="008D1A5E" w:rsidRPr="00CE3066">
        <w:rPr>
          <w:bCs/>
          <w:sz w:val="22"/>
        </w:rPr>
        <w:t xml:space="preserve">.  </w:t>
      </w:r>
      <w:r w:rsidR="004A00F3">
        <w:rPr>
          <w:bCs/>
          <w:sz w:val="22"/>
        </w:rPr>
        <w:t>Likely m</w:t>
      </w:r>
      <w:r w:rsidR="008D1A5E" w:rsidRPr="00CE3066">
        <w:rPr>
          <w:bCs/>
          <w:sz w:val="22"/>
        </w:rPr>
        <w:t xml:space="preserve">ore </w:t>
      </w:r>
      <w:r w:rsidR="004A00F3">
        <w:rPr>
          <w:bCs/>
          <w:sz w:val="22"/>
        </w:rPr>
        <w:t xml:space="preserve">FHB represented </w:t>
      </w:r>
      <w:r w:rsidR="008D1A5E" w:rsidRPr="00CE3066">
        <w:rPr>
          <w:bCs/>
          <w:sz w:val="22"/>
        </w:rPr>
        <w:t xml:space="preserve">in some states </w:t>
      </w:r>
      <w:r w:rsidR="004A00F3">
        <w:rPr>
          <w:bCs/>
          <w:sz w:val="22"/>
        </w:rPr>
        <w:t xml:space="preserve">rather </w:t>
      </w:r>
      <w:r w:rsidR="008D1A5E" w:rsidRPr="00CE3066">
        <w:rPr>
          <w:bCs/>
          <w:sz w:val="22"/>
        </w:rPr>
        <w:t xml:space="preserve">than others based on acreage, support, and crop </w:t>
      </w:r>
      <w:r w:rsidR="004A00F3" w:rsidRPr="00CE3066">
        <w:rPr>
          <w:bCs/>
          <w:sz w:val="22"/>
        </w:rPr>
        <w:t>impo</w:t>
      </w:r>
      <w:r w:rsidR="004A00F3">
        <w:rPr>
          <w:bCs/>
          <w:sz w:val="22"/>
        </w:rPr>
        <w:t>r</w:t>
      </w:r>
      <w:r w:rsidR="004A00F3" w:rsidRPr="00CE3066">
        <w:rPr>
          <w:bCs/>
          <w:sz w:val="22"/>
        </w:rPr>
        <w:t>tance</w:t>
      </w:r>
      <w:r w:rsidR="008D1A5E" w:rsidRPr="00CE3066">
        <w:rPr>
          <w:bCs/>
          <w:sz w:val="22"/>
        </w:rPr>
        <w:t xml:space="preserve">.  </w:t>
      </w:r>
      <w:r w:rsidR="00CE3066" w:rsidRPr="00CE3066">
        <w:rPr>
          <w:bCs/>
          <w:sz w:val="22"/>
        </w:rPr>
        <w:t>There</w:t>
      </w:r>
      <w:r w:rsidR="00983F90" w:rsidRPr="00CE3066">
        <w:rPr>
          <w:bCs/>
          <w:sz w:val="22"/>
        </w:rPr>
        <w:t xml:space="preserve"> was </w:t>
      </w:r>
      <w:r w:rsidR="004B7E50" w:rsidRPr="00CE3066">
        <w:rPr>
          <w:bCs/>
          <w:sz w:val="22"/>
        </w:rPr>
        <w:t xml:space="preserve">discussion on the </w:t>
      </w:r>
      <w:r w:rsidR="00CE3066" w:rsidRPr="00CE3066">
        <w:rPr>
          <w:bCs/>
          <w:sz w:val="22"/>
        </w:rPr>
        <w:t>quantitative</w:t>
      </w:r>
      <w:r w:rsidR="004B7E50" w:rsidRPr="00CE3066">
        <w:rPr>
          <w:bCs/>
          <w:sz w:val="22"/>
        </w:rPr>
        <w:t xml:space="preserve"> nature of the data and how reliable it is.  </w:t>
      </w:r>
      <w:r w:rsidR="006A1D34">
        <w:rPr>
          <w:bCs/>
          <w:sz w:val="22"/>
        </w:rPr>
        <w:t>More g</w:t>
      </w:r>
      <w:r w:rsidR="00CE3066" w:rsidRPr="00CE3066">
        <w:rPr>
          <w:bCs/>
          <w:sz w:val="22"/>
        </w:rPr>
        <w:t>ranular</w:t>
      </w:r>
      <w:r w:rsidR="004B7E50" w:rsidRPr="00CE3066">
        <w:rPr>
          <w:bCs/>
          <w:sz w:val="22"/>
        </w:rPr>
        <w:t xml:space="preserve"> </w:t>
      </w:r>
      <w:r w:rsidR="006A1D34">
        <w:rPr>
          <w:bCs/>
          <w:sz w:val="22"/>
        </w:rPr>
        <w:t xml:space="preserve">county-level </w:t>
      </w:r>
      <w:r w:rsidR="004B7E50" w:rsidRPr="00CE3066">
        <w:rPr>
          <w:bCs/>
          <w:sz w:val="22"/>
        </w:rPr>
        <w:t xml:space="preserve">estimation is not </w:t>
      </w:r>
      <w:r w:rsidR="004A00F3">
        <w:rPr>
          <w:bCs/>
          <w:sz w:val="22"/>
        </w:rPr>
        <w:t>satisfactory</w:t>
      </w:r>
      <w:r w:rsidR="004B7E50" w:rsidRPr="00CE3066">
        <w:rPr>
          <w:bCs/>
          <w:sz w:val="22"/>
        </w:rPr>
        <w:t xml:space="preserve"> for some.</w:t>
      </w:r>
      <w:r w:rsidR="004A00F3">
        <w:rPr>
          <w:bCs/>
          <w:sz w:val="22"/>
        </w:rPr>
        <w:t xml:space="preserve">  </w:t>
      </w:r>
    </w:p>
    <w:p w14:paraId="3F206B31" w14:textId="77777777" w:rsidR="00927638" w:rsidRDefault="00927638" w:rsidP="006679D3">
      <w:pPr>
        <w:ind w:left="720"/>
        <w:jc w:val="both"/>
        <w:rPr>
          <w:bCs/>
          <w:sz w:val="22"/>
        </w:rPr>
      </w:pPr>
    </w:p>
    <w:p w14:paraId="0645F332" w14:textId="3A49FC41" w:rsidR="00C309BF" w:rsidRDefault="00D22DB2" w:rsidP="006679D3">
      <w:pPr>
        <w:pStyle w:val="ListParagraph"/>
        <w:numPr>
          <w:ilvl w:val="0"/>
          <w:numId w:val="1"/>
        </w:numPr>
        <w:jc w:val="both"/>
        <w:rPr>
          <w:bCs/>
          <w:sz w:val="22"/>
        </w:rPr>
      </w:pPr>
      <w:r>
        <w:rPr>
          <w:b/>
          <w:sz w:val="22"/>
        </w:rPr>
        <w:t xml:space="preserve">Albert </w:t>
      </w:r>
      <w:proofErr w:type="spellStart"/>
      <w:r>
        <w:rPr>
          <w:b/>
          <w:sz w:val="22"/>
        </w:rPr>
        <w:t>Tenuta</w:t>
      </w:r>
      <w:proofErr w:type="spellEnd"/>
      <w:r>
        <w:rPr>
          <w:b/>
          <w:sz w:val="22"/>
        </w:rPr>
        <w:t xml:space="preserve"> – update on C</w:t>
      </w:r>
      <w:r w:rsidR="006A1D34">
        <w:rPr>
          <w:b/>
          <w:sz w:val="22"/>
        </w:rPr>
        <w:t xml:space="preserve">rop </w:t>
      </w:r>
      <w:r>
        <w:rPr>
          <w:b/>
          <w:sz w:val="22"/>
        </w:rPr>
        <w:t>P</w:t>
      </w:r>
      <w:r w:rsidR="006A1D34">
        <w:rPr>
          <w:b/>
          <w:sz w:val="22"/>
        </w:rPr>
        <w:t xml:space="preserve">rotection </w:t>
      </w:r>
      <w:r>
        <w:rPr>
          <w:b/>
          <w:sz w:val="22"/>
        </w:rPr>
        <w:t>N</w:t>
      </w:r>
      <w:r w:rsidR="006A1D34">
        <w:rPr>
          <w:b/>
          <w:sz w:val="22"/>
        </w:rPr>
        <w:t>etwork</w:t>
      </w:r>
      <w:r>
        <w:rPr>
          <w:b/>
          <w:sz w:val="22"/>
        </w:rPr>
        <w:t>.</w:t>
      </w:r>
      <w:r w:rsidR="009210EB">
        <w:rPr>
          <w:b/>
          <w:sz w:val="22"/>
        </w:rPr>
        <w:t xml:space="preserve"> </w:t>
      </w:r>
      <w:r w:rsidR="004E2084" w:rsidRPr="001A09BE">
        <w:rPr>
          <w:bCs/>
          <w:sz w:val="22"/>
        </w:rPr>
        <w:t>Input f</w:t>
      </w:r>
      <w:r w:rsidR="006A1D34">
        <w:rPr>
          <w:bCs/>
          <w:sz w:val="22"/>
        </w:rPr>
        <w:t>rom</w:t>
      </w:r>
      <w:r w:rsidR="004E2084" w:rsidRPr="001A09BE">
        <w:rPr>
          <w:bCs/>
          <w:sz w:val="22"/>
        </w:rPr>
        <w:t xml:space="preserve"> 152 specialist in 34 states and Ontario.  </w:t>
      </w:r>
      <w:r w:rsidR="006A1D34">
        <w:rPr>
          <w:bCs/>
          <w:sz w:val="22"/>
        </w:rPr>
        <w:t xml:space="preserve">There have been </w:t>
      </w:r>
      <w:r w:rsidR="00825A4E" w:rsidRPr="001A09BE">
        <w:rPr>
          <w:bCs/>
          <w:sz w:val="22"/>
        </w:rPr>
        <w:t xml:space="preserve">415,000 visits to </w:t>
      </w:r>
      <w:r w:rsidR="006A1D34">
        <w:rPr>
          <w:bCs/>
          <w:sz w:val="22"/>
        </w:rPr>
        <w:t>the CPN</w:t>
      </w:r>
      <w:r w:rsidR="00825A4E" w:rsidRPr="001A09BE">
        <w:rPr>
          <w:bCs/>
          <w:sz w:val="22"/>
        </w:rPr>
        <w:t xml:space="preserve"> </w:t>
      </w:r>
      <w:r w:rsidR="006A1D34" w:rsidRPr="001A09BE">
        <w:rPr>
          <w:bCs/>
          <w:sz w:val="22"/>
        </w:rPr>
        <w:t>encyclopedia</w:t>
      </w:r>
      <w:r w:rsidR="00825A4E" w:rsidRPr="001A09BE">
        <w:rPr>
          <w:bCs/>
          <w:sz w:val="22"/>
        </w:rPr>
        <w:t xml:space="preserve"> since 2018</w:t>
      </w:r>
      <w:r w:rsidR="00982C08" w:rsidRPr="001A09BE">
        <w:rPr>
          <w:bCs/>
          <w:sz w:val="22"/>
        </w:rPr>
        <w:t xml:space="preserve">, </w:t>
      </w:r>
      <w:r w:rsidR="00825A4E" w:rsidRPr="001A09BE">
        <w:rPr>
          <w:bCs/>
          <w:sz w:val="22"/>
        </w:rPr>
        <w:t>50 + publication</w:t>
      </w:r>
      <w:r w:rsidR="006A1D34">
        <w:rPr>
          <w:bCs/>
          <w:sz w:val="22"/>
        </w:rPr>
        <w:t>s</w:t>
      </w:r>
      <w:r w:rsidR="00982C08" w:rsidRPr="001A09BE">
        <w:rPr>
          <w:bCs/>
          <w:sz w:val="22"/>
        </w:rPr>
        <w:t xml:space="preserve">, </w:t>
      </w:r>
      <w:r w:rsidR="006A1D34">
        <w:rPr>
          <w:bCs/>
          <w:sz w:val="22"/>
        </w:rPr>
        <w:t xml:space="preserve">and </w:t>
      </w:r>
      <w:r w:rsidR="00982C08" w:rsidRPr="001A09BE">
        <w:rPr>
          <w:bCs/>
          <w:sz w:val="22"/>
        </w:rPr>
        <w:t>250,000 + publications downloaded from the CPN website since 2018</w:t>
      </w:r>
      <w:r w:rsidR="006A1D34">
        <w:rPr>
          <w:bCs/>
          <w:sz w:val="22"/>
        </w:rPr>
        <w:t>.  The</w:t>
      </w:r>
      <w:r w:rsidR="00845B9E" w:rsidRPr="001A09BE">
        <w:rPr>
          <w:bCs/>
          <w:sz w:val="22"/>
        </w:rPr>
        <w:t xml:space="preserve"> online tool allows CCA to earn </w:t>
      </w:r>
      <w:r w:rsidR="00573AC6" w:rsidRPr="001A09BE">
        <w:rPr>
          <w:bCs/>
          <w:sz w:val="22"/>
        </w:rPr>
        <w:t>CEUs</w:t>
      </w:r>
      <w:r w:rsidR="00652FAC" w:rsidRPr="001A09BE">
        <w:rPr>
          <w:bCs/>
          <w:sz w:val="22"/>
        </w:rPr>
        <w:t xml:space="preserve"> (850 </w:t>
      </w:r>
      <w:r w:rsidR="002E6AFD" w:rsidRPr="001A09BE">
        <w:rPr>
          <w:bCs/>
          <w:sz w:val="22"/>
        </w:rPr>
        <w:t xml:space="preserve">credits </w:t>
      </w:r>
      <w:r w:rsidR="006A1D34">
        <w:rPr>
          <w:bCs/>
          <w:sz w:val="22"/>
        </w:rPr>
        <w:t xml:space="preserve">were earned </w:t>
      </w:r>
      <w:r w:rsidR="002E6AFD" w:rsidRPr="001A09BE">
        <w:rPr>
          <w:bCs/>
          <w:sz w:val="22"/>
        </w:rPr>
        <w:t>in 2020)</w:t>
      </w:r>
      <w:r w:rsidR="00573AC6" w:rsidRPr="001A09BE">
        <w:rPr>
          <w:bCs/>
          <w:sz w:val="22"/>
        </w:rPr>
        <w:t xml:space="preserve">.  </w:t>
      </w:r>
      <w:r w:rsidR="008844B6" w:rsidRPr="001A09BE">
        <w:rPr>
          <w:bCs/>
          <w:sz w:val="22"/>
        </w:rPr>
        <w:t xml:space="preserve">Wheat specific pubs </w:t>
      </w:r>
      <w:r w:rsidR="006A1D34">
        <w:rPr>
          <w:bCs/>
          <w:sz w:val="22"/>
        </w:rPr>
        <w:t xml:space="preserve">have had </w:t>
      </w:r>
      <w:r w:rsidR="00B4778F" w:rsidRPr="001A09BE">
        <w:rPr>
          <w:bCs/>
          <w:sz w:val="22"/>
        </w:rPr>
        <w:t xml:space="preserve">almost 5000 views. </w:t>
      </w:r>
      <w:r w:rsidR="00C37880" w:rsidRPr="001A09BE">
        <w:rPr>
          <w:bCs/>
          <w:sz w:val="22"/>
        </w:rPr>
        <w:t xml:space="preserve"> Future objectives include </w:t>
      </w:r>
      <w:r w:rsidR="006A1D34" w:rsidRPr="001A09BE">
        <w:rPr>
          <w:bCs/>
          <w:sz w:val="22"/>
        </w:rPr>
        <w:t>expansion</w:t>
      </w:r>
      <w:r w:rsidR="00C37880" w:rsidRPr="001A09BE">
        <w:rPr>
          <w:bCs/>
          <w:sz w:val="22"/>
        </w:rPr>
        <w:t xml:space="preserve"> </w:t>
      </w:r>
      <w:r w:rsidR="006A1D34">
        <w:rPr>
          <w:bCs/>
          <w:sz w:val="22"/>
        </w:rPr>
        <w:t xml:space="preserve">of the </w:t>
      </w:r>
      <w:r w:rsidR="00DA2178" w:rsidRPr="001A09BE">
        <w:rPr>
          <w:bCs/>
          <w:sz w:val="22"/>
        </w:rPr>
        <w:t xml:space="preserve">webinar series, </w:t>
      </w:r>
      <w:r w:rsidR="006A1D34">
        <w:rPr>
          <w:bCs/>
          <w:sz w:val="22"/>
        </w:rPr>
        <w:t xml:space="preserve">a </w:t>
      </w:r>
      <w:r w:rsidR="00DA2178" w:rsidRPr="001A09BE">
        <w:rPr>
          <w:bCs/>
          <w:sz w:val="22"/>
        </w:rPr>
        <w:t>diversif</w:t>
      </w:r>
      <w:r w:rsidR="006A1D34">
        <w:rPr>
          <w:bCs/>
          <w:sz w:val="22"/>
        </w:rPr>
        <w:t>ication of</w:t>
      </w:r>
      <w:r w:rsidR="00DA2178" w:rsidRPr="001A09BE">
        <w:rPr>
          <w:bCs/>
          <w:sz w:val="22"/>
        </w:rPr>
        <w:t xml:space="preserve"> resources and tools</w:t>
      </w:r>
      <w:r w:rsidR="006A1D34">
        <w:rPr>
          <w:bCs/>
          <w:sz w:val="22"/>
        </w:rPr>
        <w:t>,</w:t>
      </w:r>
      <w:r w:rsidR="00DA2178" w:rsidRPr="001A09BE">
        <w:rPr>
          <w:bCs/>
          <w:sz w:val="22"/>
        </w:rPr>
        <w:t xml:space="preserve"> and </w:t>
      </w:r>
      <w:r w:rsidR="006A1D34">
        <w:rPr>
          <w:bCs/>
          <w:sz w:val="22"/>
        </w:rPr>
        <w:t xml:space="preserve">a goal to </w:t>
      </w:r>
      <w:r w:rsidR="00DA2178" w:rsidRPr="001A09BE">
        <w:rPr>
          <w:bCs/>
          <w:sz w:val="22"/>
        </w:rPr>
        <w:t xml:space="preserve">increase the use and engagement of farmers and </w:t>
      </w:r>
      <w:r w:rsidR="006A1D34">
        <w:rPr>
          <w:bCs/>
          <w:sz w:val="22"/>
        </w:rPr>
        <w:t xml:space="preserve">crop </w:t>
      </w:r>
      <w:r w:rsidR="006A1D34" w:rsidRPr="001A09BE">
        <w:rPr>
          <w:bCs/>
          <w:sz w:val="22"/>
        </w:rPr>
        <w:t>consultants</w:t>
      </w:r>
      <w:r w:rsidR="001A09BE" w:rsidRPr="001A09BE">
        <w:rPr>
          <w:bCs/>
          <w:sz w:val="22"/>
        </w:rPr>
        <w:t xml:space="preserve">. </w:t>
      </w:r>
    </w:p>
    <w:p w14:paraId="4E872396" w14:textId="77777777" w:rsidR="00C309BF" w:rsidRDefault="00C309BF" w:rsidP="006679D3">
      <w:pPr>
        <w:pStyle w:val="ListParagraph"/>
        <w:ind w:left="360"/>
        <w:jc w:val="both"/>
        <w:rPr>
          <w:bCs/>
          <w:sz w:val="22"/>
        </w:rPr>
      </w:pPr>
    </w:p>
    <w:p w14:paraId="0BBC0321" w14:textId="77600148" w:rsidR="00915768" w:rsidRPr="009210EB" w:rsidRDefault="00B57AAB" w:rsidP="009210EB">
      <w:pPr>
        <w:pStyle w:val="ListParagraph"/>
        <w:numPr>
          <w:ilvl w:val="0"/>
          <w:numId w:val="1"/>
        </w:numPr>
        <w:jc w:val="both"/>
        <w:rPr>
          <w:bCs/>
          <w:sz w:val="22"/>
        </w:rPr>
      </w:pPr>
      <w:r w:rsidRPr="00505199">
        <w:rPr>
          <w:b/>
          <w:sz w:val="22"/>
        </w:rPr>
        <w:t>Erick De</w:t>
      </w:r>
      <w:r w:rsidR="009603B0">
        <w:rPr>
          <w:b/>
          <w:sz w:val="22"/>
        </w:rPr>
        <w:t>W</w:t>
      </w:r>
      <w:r w:rsidRPr="00505199">
        <w:rPr>
          <w:b/>
          <w:sz w:val="22"/>
        </w:rPr>
        <w:t xml:space="preserve">olf – </w:t>
      </w:r>
      <w:r w:rsidR="009210EB" w:rsidRPr="00505199">
        <w:rPr>
          <w:b/>
          <w:sz w:val="22"/>
        </w:rPr>
        <w:t>R</w:t>
      </w:r>
      <w:r w:rsidR="00DE30BE" w:rsidRPr="00505199">
        <w:rPr>
          <w:b/>
          <w:sz w:val="22"/>
        </w:rPr>
        <w:t xml:space="preserve">elationship </w:t>
      </w:r>
      <w:r w:rsidR="009210EB" w:rsidRPr="00505199">
        <w:rPr>
          <w:b/>
          <w:sz w:val="22"/>
        </w:rPr>
        <w:t>o</w:t>
      </w:r>
      <w:r w:rsidR="00DE30BE" w:rsidRPr="00505199">
        <w:rPr>
          <w:b/>
          <w:sz w:val="22"/>
        </w:rPr>
        <w:t>f regional moisture on stripe rust epidemics in Kansas.</w:t>
      </w:r>
      <w:r w:rsidR="009210EB">
        <w:rPr>
          <w:bCs/>
          <w:sz w:val="22"/>
        </w:rPr>
        <w:t xml:space="preserve"> Historical observations of stripe rust epidemics </w:t>
      </w:r>
      <w:r w:rsidR="00952BA1">
        <w:rPr>
          <w:bCs/>
          <w:sz w:val="22"/>
        </w:rPr>
        <w:t xml:space="preserve">are </w:t>
      </w:r>
      <w:r w:rsidR="009210EB">
        <w:rPr>
          <w:bCs/>
          <w:sz w:val="22"/>
        </w:rPr>
        <w:t xml:space="preserve">yielding potentially useful information. Understanding source regions of stripe rust within the </w:t>
      </w:r>
      <w:r w:rsidR="00952BA1">
        <w:rPr>
          <w:bCs/>
          <w:sz w:val="22"/>
        </w:rPr>
        <w:t>G</w:t>
      </w:r>
      <w:r w:rsidR="009210EB">
        <w:rPr>
          <w:bCs/>
          <w:sz w:val="22"/>
        </w:rPr>
        <w:t xml:space="preserve">reat Plains could drive scouting /surveillance efforts.  Understanding time periods critical for development of regional epidemics help determine when to look for disease activity.  Advanced regional modeling efforts would allow for future risk estimations in the months prior to stripe rust epidemics in the Great Plains.  </w:t>
      </w:r>
      <w:r w:rsidR="009603B0">
        <w:rPr>
          <w:bCs/>
          <w:sz w:val="22"/>
        </w:rPr>
        <w:t xml:space="preserve">Preliminary results on strip rust response to heat stress indicated </w:t>
      </w:r>
      <w:r w:rsidR="00EF0A40" w:rsidRPr="009210EB">
        <w:rPr>
          <w:bCs/>
          <w:sz w:val="22"/>
        </w:rPr>
        <w:t>sporulation ceased at 24</w:t>
      </w:r>
      <w:r w:rsidR="009210EB">
        <w:rPr>
          <w:bCs/>
          <w:sz w:val="22"/>
        </w:rPr>
        <w:t>C</w:t>
      </w:r>
      <w:r w:rsidR="00EF0A40" w:rsidRPr="009210EB">
        <w:rPr>
          <w:bCs/>
          <w:sz w:val="22"/>
        </w:rPr>
        <w:t>.</w:t>
      </w:r>
      <w:r w:rsidR="009210EB">
        <w:rPr>
          <w:bCs/>
          <w:sz w:val="22"/>
        </w:rPr>
        <w:t xml:space="preserve">  </w:t>
      </w:r>
      <w:r w:rsidR="00EF0A40" w:rsidRPr="009210EB">
        <w:rPr>
          <w:bCs/>
          <w:sz w:val="22"/>
        </w:rPr>
        <w:t xml:space="preserve">  </w:t>
      </w:r>
    </w:p>
    <w:p w14:paraId="46D0C9F3" w14:textId="77777777" w:rsidR="00915768" w:rsidRPr="00915768" w:rsidRDefault="00915768" w:rsidP="006679D3">
      <w:pPr>
        <w:pStyle w:val="ListParagraph"/>
        <w:jc w:val="both"/>
        <w:rPr>
          <w:bCs/>
          <w:sz w:val="22"/>
        </w:rPr>
      </w:pPr>
    </w:p>
    <w:p w14:paraId="13D2141D" w14:textId="6321BCB4" w:rsidR="00982C08" w:rsidRDefault="003961BB" w:rsidP="006679D3">
      <w:pPr>
        <w:pStyle w:val="ListParagraph"/>
        <w:ind w:left="360"/>
        <w:jc w:val="both"/>
        <w:rPr>
          <w:bCs/>
          <w:sz w:val="22"/>
        </w:rPr>
      </w:pPr>
      <w:r>
        <w:rPr>
          <w:bCs/>
          <w:sz w:val="22"/>
        </w:rPr>
        <w:t>Questions wer</w:t>
      </w:r>
      <w:r w:rsidR="009210EB">
        <w:rPr>
          <w:bCs/>
          <w:sz w:val="22"/>
        </w:rPr>
        <w:t>e</w:t>
      </w:r>
      <w:r>
        <w:rPr>
          <w:bCs/>
          <w:sz w:val="22"/>
        </w:rPr>
        <w:t xml:space="preserve"> asked </w:t>
      </w:r>
      <w:r w:rsidR="008D098E">
        <w:rPr>
          <w:bCs/>
          <w:sz w:val="22"/>
        </w:rPr>
        <w:t xml:space="preserve">about spore trapping and modeling areas away from the plains.  </w:t>
      </w:r>
      <w:r w:rsidR="00915768">
        <w:rPr>
          <w:bCs/>
          <w:sz w:val="22"/>
        </w:rPr>
        <w:t>No spo</w:t>
      </w:r>
      <w:r w:rsidR="00CE65D1">
        <w:rPr>
          <w:bCs/>
          <w:sz w:val="22"/>
        </w:rPr>
        <w:t>r</w:t>
      </w:r>
      <w:r w:rsidR="00915768">
        <w:rPr>
          <w:bCs/>
          <w:sz w:val="22"/>
        </w:rPr>
        <w:t xml:space="preserve">e trapping data </w:t>
      </w:r>
      <w:r w:rsidR="009210EB">
        <w:rPr>
          <w:bCs/>
          <w:sz w:val="22"/>
        </w:rPr>
        <w:t xml:space="preserve">was </w:t>
      </w:r>
      <w:r w:rsidR="00915768">
        <w:rPr>
          <w:bCs/>
          <w:sz w:val="22"/>
        </w:rPr>
        <w:t xml:space="preserve">included in the </w:t>
      </w:r>
      <w:r w:rsidR="00CE65D1">
        <w:rPr>
          <w:bCs/>
          <w:sz w:val="22"/>
        </w:rPr>
        <w:t>Texas modelling dataset.</w:t>
      </w:r>
      <w:r w:rsidR="001A09BE" w:rsidRPr="00C309BF">
        <w:rPr>
          <w:bCs/>
          <w:sz w:val="22"/>
        </w:rPr>
        <w:t xml:space="preserve"> </w:t>
      </w:r>
      <w:r w:rsidR="008D098E">
        <w:rPr>
          <w:bCs/>
          <w:sz w:val="22"/>
        </w:rPr>
        <w:t xml:space="preserve">Previous evidence suggests similar </w:t>
      </w:r>
      <w:r w:rsidR="009210EB">
        <w:rPr>
          <w:bCs/>
          <w:sz w:val="22"/>
        </w:rPr>
        <w:t>relationships</w:t>
      </w:r>
      <w:r w:rsidR="008D098E">
        <w:rPr>
          <w:bCs/>
          <w:sz w:val="22"/>
        </w:rPr>
        <w:t xml:space="preserve"> to disease levels exist in LA and AR as what has been observed in Texas.</w:t>
      </w:r>
    </w:p>
    <w:p w14:paraId="483A0393" w14:textId="74A80C05" w:rsidR="00DC1D35" w:rsidRDefault="00DC1D35" w:rsidP="006679D3">
      <w:pPr>
        <w:pStyle w:val="ListParagraph"/>
        <w:ind w:left="360"/>
        <w:jc w:val="both"/>
        <w:rPr>
          <w:bCs/>
          <w:sz w:val="22"/>
        </w:rPr>
      </w:pPr>
    </w:p>
    <w:p w14:paraId="6B1E1258" w14:textId="141F38B8" w:rsidR="008B6015" w:rsidRDefault="00DC1D35" w:rsidP="006679D3">
      <w:pPr>
        <w:pStyle w:val="ListParagraph"/>
        <w:numPr>
          <w:ilvl w:val="0"/>
          <w:numId w:val="1"/>
        </w:numPr>
        <w:jc w:val="both"/>
        <w:rPr>
          <w:bCs/>
          <w:sz w:val="22"/>
        </w:rPr>
      </w:pPr>
      <w:r w:rsidRPr="009603B0">
        <w:rPr>
          <w:b/>
          <w:sz w:val="22"/>
        </w:rPr>
        <w:t>Erick De</w:t>
      </w:r>
      <w:r w:rsidR="009603B0">
        <w:rPr>
          <w:b/>
          <w:sz w:val="22"/>
        </w:rPr>
        <w:t>W</w:t>
      </w:r>
      <w:r w:rsidRPr="009603B0">
        <w:rPr>
          <w:b/>
          <w:sz w:val="22"/>
        </w:rPr>
        <w:t>ol</w:t>
      </w:r>
      <w:r w:rsidR="003E6B63" w:rsidRPr="009603B0">
        <w:rPr>
          <w:b/>
          <w:sz w:val="22"/>
        </w:rPr>
        <w:t xml:space="preserve">f </w:t>
      </w:r>
      <w:r w:rsidR="009603B0" w:rsidRPr="009603B0">
        <w:rPr>
          <w:b/>
          <w:sz w:val="22"/>
        </w:rPr>
        <w:t xml:space="preserve">- </w:t>
      </w:r>
      <w:r w:rsidR="003E6B63" w:rsidRPr="009603B0">
        <w:rPr>
          <w:b/>
          <w:sz w:val="22"/>
        </w:rPr>
        <w:t>provided an update on the FHB forecasting tools for 2021.</w:t>
      </w:r>
      <w:r w:rsidR="003E6B63">
        <w:rPr>
          <w:bCs/>
          <w:sz w:val="22"/>
        </w:rPr>
        <w:t xml:space="preserve">  </w:t>
      </w:r>
      <w:r w:rsidR="00B07D60">
        <w:rPr>
          <w:bCs/>
          <w:sz w:val="22"/>
        </w:rPr>
        <w:t xml:space="preserve">The 2020 forecasting effort did not </w:t>
      </w:r>
      <w:r w:rsidR="004C2028">
        <w:rPr>
          <w:bCs/>
          <w:sz w:val="22"/>
        </w:rPr>
        <w:t xml:space="preserve">go as </w:t>
      </w:r>
      <w:r w:rsidR="002C4FBE">
        <w:rPr>
          <w:bCs/>
          <w:sz w:val="22"/>
        </w:rPr>
        <w:t>smoothly</w:t>
      </w:r>
      <w:r w:rsidR="004C2028">
        <w:rPr>
          <w:bCs/>
          <w:sz w:val="22"/>
        </w:rPr>
        <w:t xml:space="preserve"> as hoped due to </w:t>
      </w:r>
      <w:r w:rsidR="009603B0">
        <w:rPr>
          <w:bCs/>
          <w:sz w:val="22"/>
        </w:rPr>
        <w:t xml:space="preserve">the </w:t>
      </w:r>
      <w:r w:rsidR="004C2028">
        <w:rPr>
          <w:bCs/>
          <w:sz w:val="22"/>
        </w:rPr>
        <w:t>C</w:t>
      </w:r>
      <w:r w:rsidR="009603B0">
        <w:rPr>
          <w:bCs/>
          <w:sz w:val="22"/>
        </w:rPr>
        <w:t>OVID-19 pandemic which</w:t>
      </w:r>
      <w:r w:rsidR="004C2028">
        <w:rPr>
          <w:bCs/>
          <w:sz w:val="22"/>
        </w:rPr>
        <w:t xml:space="preserve"> interrupt</w:t>
      </w:r>
      <w:r w:rsidR="00E04744">
        <w:rPr>
          <w:bCs/>
          <w:sz w:val="22"/>
        </w:rPr>
        <w:t xml:space="preserve">ed the </w:t>
      </w:r>
      <w:r w:rsidR="004C2028">
        <w:rPr>
          <w:bCs/>
          <w:sz w:val="22"/>
        </w:rPr>
        <w:t xml:space="preserve">launching </w:t>
      </w:r>
      <w:r w:rsidR="00E04744">
        <w:rPr>
          <w:bCs/>
          <w:sz w:val="22"/>
        </w:rPr>
        <w:lastRenderedPageBreak/>
        <w:t xml:space="preserve">of </w:t>
      </w:r>
      <w:r w:rsidR="004C2028">
        <w:rPr>
          <w:bCs/>
          <w:sz w:val="22"/>
        </w:rPr>
        <w:t xml:space="preserve">new tools and updates.  </w:t>
      </w:r>
      <w:r w:rsidR="002C4FBE">
        <w:rPr>
          <w:bCs/>
          <w:sz w:val="22"/>
        </w:rPr>
        <w:t xml:space="preserve">The tool has been updated to </w:t>
      </w:r>
      <w:r w:rsidR="00E04744">
        <w:rPr>
          <w:bCs/>
          <w:sz w:val="22"/>
        </w:rPr>
        <w:t xml:space="preserve">a different format to </w:t>
      </w:r>
      <w:r w:rsidR="002C4FBE">
        <w:rPr>
          <w:bCs/>
          <w:sz w:val="22"/>
        </w:rPr>
        <w:t xml:space="preserve">work more seamlessly with mobile access. </w:t>
      </w:r>
      <w:r w:rsidR="00D90907">
        <w:rPr>
          <w:bCs/>
          <w:sz w:val="22"/>
        </w:rPr>
        <w:t xml:space="preserve"> </w:t>
      </w:r>
      <w:r w:rsidR="00481CEE">
        <w:rPr>
          <w:bCs/>
          <w:sz w:val="22"/>
        </w:rPr>
        <w:t>The updated tool also includes more specific geographic data layers such as co</w:t>
      </w:r>
      <w:r w:rsidR="009603B0">
        <w:rPr>
          <w:bCs/>
          <w:sz w:val="22"/>
        </w:rPr>
        <w:t>u</w:t>
      </w:r>
      <w:r w:rsidR="00481CEE">
        <w:rPr>
          <w:bCs/>
          <w:sz w:val="22"/>
        </w:rPr>
        <w:t>nties and roads.</w:t>
      </w:r>
      <w:r w:rsidR="008D098E">
        <w:rPr>
          <w:bCs/>
          <w:sz w:val="22"/>
        </w:rPr>
        <w:t xml:space="preserve"> </w:t>
      </w:r>
      <w:r w:rsidR="006E57C0">
        <w:rPr>
          <w:bCs/>
          <w:sz w:val="22"/>
        </w:rPr>
        <w:t xml:space="preserve"> Different for 2021, the source of the weather data is the </w:t>
      </w:r>
      <w:r w:rsidR="009603B0">
        <w:rPr>
          <w:bCs/>
          <w:sz w:val="22"/>
        </w:rPr>
        <w:t>same,</w:t>
      </w:r>
      <w:r w:rsidR="006E57C0">
        <w:rPr>
          <w:bCs/>
          <w:sz w:val="22"/>
        </w:rPr>
        <w:t xml:space="preserve"> but the locations of the </w:t>
      </w:r>
      <w:r w:rsidR="005A0F0B">
        <w:rPr>
          <w:bCs/>
          <w:sz w:val="22"/>
        </w:rPr>
        <w:t>ground-based</w:t>
      </w:r>
      <w:r w:rsidR="006E57C0">
        <w:rPr>
          <w:bCs/>
          <w:sz w:val="22"/>
        </w:rPr>
        <w:t xml:space="preserve"> stations will not be displayed.</w:t>
      </w:r>
      <w:r w:rsidR="009603B0">
        <w:rPr>
          <w:bCs/>
          <w:sz w:val="22"/>
        </w:rPr>
        <w:t xml:space="preserve"> </w:t>
      </w:r>
      <w:r w:rsidR="00E04744">
        <w:rPr>
          <w:bCs/>
          <w:sz w:val="22"/>
        </w:rPr>
        <w:t>Requests were made to record a training session for stakeholders to become familiar with the new format.</w:t>
      </w:r>
    </w:p>
    <w:p w14:paraId="66AA8BC1" w14:textId="77777777" w:rsidR="005A0F0B" w:rsidRDefault="005A0F0B" w:rsidP="006679D3">
      <w:pPr>
        <w:pStyle w:val="ListParagraph"/>
        <w:ind w:left="360"/>
        <w:jc w:val="both"/>
        <w:rPr>
          <w:bCs/>
          <w:sz w:val="22"/>
        </w:rPr>
      </w:pPr>
    </w:p>
    <w:p w14:paraId="3D01BB87" w14:textId="43517F36" w:rsidR="00BA4053" w:rsidRDefault="00631CCB" w:rsidP="006679D3">
      <w:pPr>
        <w:pStyle w:val="ListParagraph"/>
        <w:numPr>
          <w:ilvl w:val="0"/>
          <w:numId w:val="1"/>
        </w:numPr>
        <w:jc w:val="both"/>
        <w:rPr>
          <w:bCs/>
          <w:sz w:val="22"/>
        </w:rPr>
      </w:pPr>
      <w:r>
        <w:rPr>
          <w:bCs/>
          <w:sz w:val="22"/>
        </w:rPr>
        <w:t xml:space="preserve">Erick </w:t>
      </w:r>
      <w:r w:rsidR="005A0F0B">
        <w:rPr>
          <w:bCs/>
          <w:sz w:val="22"/>
        </w:rPr>
        <w:t>D</w:t>
      </w:r>
      <w:r>
        <w:rPr>
          <w:bCs/>
          <w:sz w:val="22"/>
        </w:rPr>
        <w:t>e</w:t>
      </w:r>
      <w:r w:rsidR="009603B0">
        <w:rPr>
          <w:bCs/>
          <w:sz w:val="22"/>
        </w:rPr>
        <w:t>W</w:t>
      </w:r>
      <w:r>
        <w:rPr>
          <w:bCs/>
          <w:sz w:val="22"/>
        </w:rPr>
        <w:t xml:space="preserve">olf provided a </w:t>
      </w:r>
      <w:r w:rsidR="005A0F0B">
        <w:rPr>
          <w:bCs/>
          <w:sz w:val="22"/>
        </w:rPr>
        <w:t>brief</w:t>
      </w:r>
      <w:r>
        <w:rPr>
          <w:bCs/>
          <w:sz w:val="22"/>
        </w:rPr>
        <w:t xml:space="preserve"> update on the </w:t>
      </w:r>
      <w:r w:rsidR="005A0F0B">
        <w:rPr>
          <w:bCs/>
          <w:sz w:val="22"/>
        </w:rPr>
        <w:t>fungicide efficacy table</w:t>
      </w:r>
      <w:r w:rsidR="00BA4053">
        <w:rPr>
          <w:bCs/>
          <w:sz w:val="22"/>
        </w:rPr>
        <w:t xml:space="preserve"> and asked the group for contributions.</w:t>
      </w:r>
    </w:p>
    <w:p w14:paraId="447681C5" w14:textId="77777777" w:rsidR="003432C5" w:rsidRPr="003432C5" w:rsidRDefault="003432C5" w:rsidP="006679D3">
      <w:pPr>
        <w:pStyle w:val="ListParagraph"/>
        <w:jc w:val="both"/>
        <w:rPr>
          <w:bCs/>
          <w:sz w:val="22"/>
        </w:rPr>
      </w:pPr>
    </w:p>
    <w:p w14:paraId="28C9A605" w14:textId="66973DDE" w:rsidR="005A158D" w:rsidRPr="009603B0" w:rsidRDefault="00901529" w:rsidP="006679D3">
      <w:pPr>
        <w:pStyle w:val="ListParagraph"/>
        <w:numPr>
          <w:ilvl w:val="0"/>
          <w:numId w:val="1"/>
        </w:numPr>
        <w:jc w:val="both"/>
        <w:rPr>
          <w:bCs/>
          <w:sz w:val="22"/>
        </w:rPr>
      </w:pPr>
      <w:r w:rsidRPr="00441351">
        <w:rPr>
          <w:b/>
          <w:sz w:val="22"/>
        </w:rPr>
        <w:t>Kendall Lamkey - Administrator Update</w:t>
      </w:r>
      <w:r>
        <w:rPr>
          <w:b/>
          <w:sz w:val="22"/>
        </w:rPr>
        <w:t xml:space="preserve">.  </w:t>
      </w:r>
      <w:r w:rsidR="00E21E41" w:rsidRPr="009603B0">
        <w:rPr>
          <w:bCs/>
          <w:sz w:val="22"/>
        </w:rPr>
        <w:t xml:space="preserve">The project is up for renewal.  </w:t>
      </w:r>
      <w:r w:rsidR="00C22BB7" w:rsidRPr="009603B0">
        <w:rPr>
          <w:bCs/>
          <w:sz w:val="22"/>
        </w:rPr>
        <w:t xml:space="preserve">The new project narrative is due by 12/1/21.  </w:t>
      </w:r>
      <w:r w:rsidR="005A158D" w:rsidRPr="009603B0">
        <w:rPr>
          <w:bCs/>
          <w:sz w:val="22"/>
        </w:rPr>
        <w:t>A summary of the renewal</w:t>
      </w:r>
      <w:r w:rsidR="00E04744">
        <w:rPr>
          <w:bCs/>
          <w:sz w:val="22"/>
        </w:rPr>
        <w:t xml:space="preserve"> process</w:t>
      </w:r>
      <w:r w:rsidR="005A158D" w:rsidRPr="009603B0">
        <w:rPr>
          <w:bCs/>
          <w:sz w:val="22"/>
        </w:rPr>
        <w:t xml:space="preserve"> is</w:t>
      </w:r>
      <w:r w:rsidR="00E92AB6">
        <w:rPr>
          <w:bCs/>
          <w:sz w:val="22"/>
        </w:rPr>
        <w:t xml:space="preserve"> located at</w:t>
      </w:r>
      <w:r w:rsidR="005A158D" w:rsidRPr="009603B0">
        <w:rPr>
          <w:bCs/>
          <w:sz w:val="22"/>
        </w:rPr>
        <w:t xml:space="preserve"> </w:t>
      </w:r>
      <w:hyperlink r:id="rId8" w:history="1">
        <w:r w:rsidR="005A158D" w:rsidRPr="009603B0">
          <w:rPr>
            <w:rStyle w:val="Hyperlink"/>
            <w:bCs/>
            <w:sz w:val="22"/>
          </w:rPr>
          <w:t>https://www.ncra-saes.org/multistate-handbook</w:t>
        </w:r>
      </w:hyperlink>
      <w:r w:rsidR="005A158D" w:rsidRPr="009603B0">
        <w:rPr>
          <w:bCs/>
          <w:sz w:val="22"/>
        </w:rPr>
        <w:t xml:space="preserve">.  </w:t>
      </w:r>
      <w:r w:rsidR="00E92AB6">
        <w:rPr>
          <w:bCs/>
          <w:sz w:val="22"/>
        </w:rPr>
        <w:t>A r</w:t>
      </w:r>
      <w:r w:rsidR="00783D73" w:rsidRPr="009603B0">
        <w:rPr>
          <w:bCs/>
          <w:sz w:val="22"/>
        </w:rPr>
        <w:t xml:space="preserve">enewal committee </w:t>
      </w:r>
      <w:r w:rsidR="009603B0" w:rsidRPr="009603B0">
        <w:rPr>
          <w:bCs/>
          <w:sz w:val="22"/>
        </w:rPr>
        <w:t>will</w:t>
      </w:r>
      <w:r w:rsidR="00CC4D71" w:rsidRPr="009603B0">
        <w:rPr>
          <w:bCs/>
          <w:sz w:val="22"/>
        </w:rPr>
        <w:t xml:space="preserve"> be formed in the future.  Alyssa </w:t>
      </w:r>
      <w:r w:rsidR="00E92AB6">
        <w:rPr>
          <w:bCs/>
          <w:sz w:val="22"/>
        </w:rPr>
        <w:t xml:space="preserve">Koehler </w:t>
      </w:r>
      <w:r w:rsidR="00CC4D71" w:rsidRPr="009603B0">
        <w:rPr>
          <w:bCs/>
          <w:sz w:val="22"/>
        </w:rPr>
        <w:t xml:space="preserve">will send a poll </w:t>
      </w:r>
      <w:r w:rsidR="00FC1A14" w:rsidRPr="009603B0">
        <w:rPr>
          <w:bCs/>
          <w:sz w:val="22"/>
        </w:rPr>
        <w:t>to address the questions brough</w:t>
      </w:r>
      <w:r w:rsidR="00E92AB6">
        <w:rPr>
          <w:bCs/>
          <w:sz w:val="22"/>
        </w:rPr>
        <w:t>t</w:t>
      </w:r>
      <w:r w:rsidR="00FC1A14" w:rsidRPr="009603B0">
        <w:rPr>
          <w:bCs/>
          <w:sz w:val="22"/>
        </w:rPr>
        <w:t xml:space="preserve"> up pertaining to the objectives and </w:t>
      </w:r>
      <w:r w:rsidR="00783E59" w:rsidRPr="009603B0">
        <w:rPr>
          <w:bCs/>
          <w:sz w:val="22"/>
        </w:rPr>
        <w:t xml:space="preserve">continued </w:t>
      </w:r>
      <w:r w:rsidR="00FC1A14" w:rsidRPr="009603B0">
        <w:rPr>
          <w:bCs/>
          <w:sz w:val="22"/>
        </w:rPr>
        <w:t xml:space="preserve">inclusion of other small grains </w:t>
      </w:r>
      <w:r w:rsidR="00513177" w:rsidRPr="009603B0">
        <w:rPr>
          <w:bCs/>
          <w:sz w:val="22"/>
        </w:rPr>
        <w:t xml:space="preserve">in addition to wheat.  Kendall indicated that </w:t>
      </w:r>
      <w:r w:rsidR="00CB3783" w:rsidRPr="009603B0">
        <w:rPr>
          <w:bCs/>
          <w:sz w:val="22"/>
        </w:rPr>
        <w:t xml:space="preserve">expansion is a good </w:t>
      </w:r>
      <w:r w:rsidR="009603B0" w:rsidRPr="009603B0">
        <w:rPr>
          <w:bCs/>
          <w:sz w:val="22"/>
        </w:rPr>
        <w:t>idea,</w:t>
      </w:r>
      <w:r w:rsidR="00CB3783" w:rsidRPr="009603B0">
        <w:rPr>
          <w:bCs/>
          <w:sz w:val="22"/>
        </w:rPr>
        <w:t xml:space="preserve"> but the group needs to explore the objectives of other regional projects and be mindful of overlap.</w:t>
      </w:r>
      <w:r w:rsidR="0076304A" w:rsidRPr="009603B0">
        <w:rPr>
          <w:bCs/>
          <w:sz w:val="22"/>
        </w:rPr>
        <w:t xml:space="preserve">  Carl requested that steps be taken to maintain the ‘184’ and not lose that designation.  </w:t>
      </w:r>
    </w:p>
    <w:p w14:paraId="0683FBDE" w14:textId="77777777" w:rsidR="00BA4053" w:rsidRPr="00BA4053" w:rsidRDefault="00BA4053" w:rsidP="006679D3">
      <w:pPr>
        <w:pStyle w:val="ListParagraph"/>
        <w:jc w:val="both"/>
        <w:rPr>
          <w:bCs/>
          <w:sz w:val="22"/>
        </w:rPr>
      </w:pPr>
    </w:p>
    <w:p w14:paraId="17B072E7" w14:textId="77777777" w:rsidR="00142839" w:rsidRPr="00441351" w:rsidRDefault="00142839" w:rsidP="006679D3">
      <w:pPr>
        <w:jc w:val="both"/>
        <w:rPr>
          <w:b/>
          <w:sz w:val="22"/>
        </w:rPr>
      </w:pPr>
      <w:r w:rsidRPr="00441351">
        <w:rPr>
          <w:b/>
          <w:sz w:val="22"/>
        </w:rPr>
        <w:t>Business Meeting</w:t>
      </w:r>
    </w:p>
    <w:p w14:paraId="6734C535" w14:textId="77777777" w:rsidR="00142839" w:rsidRDefault="00142839" w:rsidP="006679D3">
      <w:pPr>
        <w:jc w:val="both"/>
        <w:rPr>
          <w:sz w:val="22"/>
        </w:rPr>
      </w:pPr>
    </w:p>
    <w:p w14:paraId="6DE2120D" w14:textId="4EFBB1E6" w:rsidR="00DC1D35" w:rsidRDefault="00611632" w:rsidP="006679D3">
      <w:pPr>
        <w:pStyle w:val="ListParagraph"/>
        <w:ind w:left="360"/>
        <w:jc w:val="both"/>
        <w:rPr>
          <w:sz w:val="22"/>
        </w:rPr>
      </w:pPr>
      <w:r>
        <w:rPr>
          <w:sz w:val="22"/>
        </w:rPr>
        <w:t>Alyssa called t</w:t>
      </w:r>
      <w:r w:rsidR="00EB4B8C">
        <w:rPr>
          <w:sz w:val="22"/>
        </w:rPr>
        <w:t xml:space="preserve">he business meeting </w:t>
      </w:r>
      <w:r>
        <w:rPr>
          <w:sz w:val="22"/>
        </w:rPr>
        <w:t xml:space="preserve">to order </w:t>
      </w:r>
      <w:r w:rsidR="00EB4B8C">
        <w:rPr>
          <w:sz w:val="22"/>
        </w:rPr>
        <w:t xml:space="preserve">at approximately 12:53 PM EST. </w:t>
      </w:r>
      <w:r w:rsidR="00142839" w:rsidRPr="00441351">
        <w:rPr>
          <w:sz w:val="22"/>
        </w:rPr>
        <w:t xml:space="preserve">Minutes of </w:t>
      </w:r>
      <w:r>
        <w:rPr>
          <w:sz w:val="22"/>
        </w:rPr>
        <w:t xml:space="preserve">the </w:t>
      </w:r>
      <w:r w:rsidR="00142839" w:rsidRPr="00441351">
        <w:rPr>
          <w:sz w:val="22"/>
        </w:rPr>
        <w:t>20</w:t>
      </w:r>
      <w:r w:rsidR="00A86FF9">
        <w:rPr>
          <w:sz w:val="22"/>
        </w:rPr>
        <w:t>20</w:t>
      </w:r>
      <w:r>
        <w:rPr>
          <w:sz w:val="22"/>
        </w:rPr>
        <w:t xml:space="preserve"> meeting were</w:t>
      </w:r>
      <w:r w:rsidR="00142839" w:rsidRPr="00441351">
        <w:rPr>
          <w:sz w:val="22"/>
        </w:rPr>
        <w:t xml:space="preserve"> approved</w:t>
      </w:r>
      <w:r w:rsidR="00E92AB6">
        <w:rPr>
          <w:sz w:val="22"/>
        </w:rPr>
        <w:t xml:space="preserve"> - </w:t>
      </w:r>
      <w:r w:rsidR="000071ED">
        <w:rPr>
          <w:sz w:val="22"/>
        </w:rPr>
        <w:t xml:space="preserve">Darcy motioned and </w:t>
      </w:r>
      <w:r w:rsidR="00EB4B8C">
        <w:rPr>
          <w:sz w:val="22"/>
        </w:rPr>
        <w:t>Albert and Gary</w:t>
      </w:r>
      <w:r w:rsidR="000071ED">
        <w:rPr>
          <w:sz w:val="22"/>
        </w:rPr>
        <w:t xml:space="preserve"> </w:t>
      </w:r>
      <w:r w:rsidR="00EB4B8C">
        <w:rPr>
          <w:sz w:val="22"/>
        </w:rPr>
        <w:t>seconded</w:t>
      </w:r>
      <w:r w:rsidR="000071ED">
        <w:rPr>
          <w:sz w:val="22"/>
        </w:rPr>
        <w:t>.</w:t>
      </w:r>
    </w:p>
    <w:p w14:paraId="049B805D" w14:textId="77777777" w:rsidR="00EB4B8C" w:rsidRDefault="00EB4B8C" w:rsidP="006679D3">
      <w:pPr>
        <w:pStyle w:val="ListParagraph"/>
        <w:ind w:left="360"/>
        <w:jc w:val="both"/>
        <w:rPr>
          <w:sz w:val="22"/>
        </w:rPr>
      </w:pPr>
    </w:p>
    <w:p w14:paraId="0619F919" w14:textId="6C93FE9B" w:rsidR="008A305E" w:rsidRDefault="008A305E" w:rsidP="006679D3">
      <w:pPr>
        <w:pStyle w:val="ListParagraph"/>
        <w:ind w:left="360"/>
        <w:jc w:val="both"/>
        <w:rPr>
          <w:sz w:val="22"/>
        </w:rPr>
      </w:pPr>
      <w:r>
        <w:rPr>
          <w:sz w:val="22"/>
        </w:rPr>
        <w:t xml:space="preserve">Alyssa asked if all state </w:t>
      </w:r>
      <w:r w:rsidR="00EB4B8C">
        <w:rPr>
          <w:sz w:val="22"/>
        </w:rPr>
        <w:t>r</w:t>
      </w:r>
      <w:r>
        <w:rPr>
          <w:sz w:val="22"/>
        </w:rPr>
        <w:t xml:space="preserve">eports could be provided by March 15.  </w:t>
      </w:r>
    </w:p>
    <w:p w14:paraId="1A854CF8" w14:textId="06E681D1" w:rsidR="008A305E" w:rsidRDefault="008A305E" w:rsidP="006679D3">
      <w:pPr>
        <w:pStyle w:val="ListParagraph"/>
        <w:ind w:left="360"/>
        <w:jc w:val="both"/>
        <w:rPr>
          <w:sz w:val="22"/>
        </w:rPr>
      </w:pPr>
    </w:p>
    <w:p w14:paraId="1A7F7C9C" w14:textId="577579F0" w:rsidR="00454A51" w:rsidRDefault="008A305E" w:rsidP="006679D3">
      <w:pPr>
        <w:pStyle w:val="ListParagraph"/>
        <w:ind w:left="360"/>
        <w:jc w:val="both"/>
        <w:rPr>
          <w:sz w:val="22"/>
        </w:rPr>
      </w:pPr>
      <w:r>
        <w:rPr>
          <w:sz w:val="22"/>
        </w:rPr>
        <w:t>A</w:t>
      </w:r>
      <w:r w:rsidR="00EB4B8C">
        <w:rPr>
          <w:sz w:val="22"/>
        </w:rPr>
        <w:t>lyssa asked</w:t>
      </w:r>
      <w:r>
        <w:rPr>
          <w:sz w:val="22"/>
        </w:rPr>
        <w:t xml:space="preserve"> for </w:t>
      </w:r>
      <w:r w:rsidR="00EB4B8C">
        <w:rPr>
          <w:sz w:val="22"/>
        </w:rPr>
        <w:t xml:space="preserve">volunteers to serve on the </w:t>
      </w:r>
      <w:r>
        <w:rPr>
          <w:sz w:val="22"/>
        </w:rPr>
        <w:t xml:space="preserve">renewal committee </w:t>
      </w:r>
      <w:r w:rsidR="00454A51">
        <w:rPr>
          <w:sz w:val="22"/>
        </w:rPr>
        <w:t>- Carl</w:t>
      </w:r>
      <w:r w:rsidR="00174EB2">
        <w:rPr>
          <w:sz w:val="22"/>
        </w:rPr>
        <w:t xml:space="preserve"> </w:t>
      </w:r>
      <w:r w:rsidR="00454A51">
        <w:rPr>
          <w:sz w:val="22"/>
        </w:rPr>
        <w:t xml:space="preserve">and </w:t>
      </w:r>
      <w:r w:rsidR="00174EB2">
        <w:rPr>
          <w:sz w:val="22"/>
        </w:rPr>
        <w:t>Darcy</w:t>
      </w:r>
      <w:r w:rsidR="00454A51">
        <w:rPr>
          <w:sz w:val="22"/>
        </w:rPr>
        <w:t xml:space="preserve"> volunteered.</w:t>
      </w:r>
    </w:p>
    <w:p w14:paraId="458783EC" w14:textId="77777777" w:rsidR="00454A51" w:rsidRDefault="00454A51" w:rsidP="006679D3">
      <w:pPr>
        <w:pStyle w:val="ListParagraph"/>
        <w:ind w:left="360"/>
        <w:jc w:val="both"/>
        <w:rPr>
          <w:sz w:val="22"/>
        </w:rPr>
      </w:pPr>
    </w:p>
    <w:p w14:paraId="540ED97C" w14:textId="391E1347" w:rsidR="008A305E" w:rsidRDefault="00454A51" w:rsidP="006679D3">
      <w:pPr>
        <w:pStyle w:val="ListParagraph"/>
        <w:ind w:left="360"/>
        <w:jc w:val="both"/>
        <w:rPr>
          <w:sz w:val="22"/>
        </w:rPr>
      </w:pPr>
      <w:r>
        <w:rPr>
          <w:sz w:val="22"/>
        </w:rPr>
        <w:t xml:space="preserve">Location of 2022 meeting </w:t>
      </w:r>
      <w:r w:rsidR="00EB4B8C">
        <w:rPr>
          <w:sz w:val="22"/>
        </w:rPr>
        <w:t>– Pensacola, FL</w:t>
      </w:r>
      <w:r w:rsidR="00CE4155">
        <w:rPr>
          <w:sz w:val="22"/>
        </w:rPr>
        <w:t xml:space="preserve"> is </w:t>
      </w:r>
      <w:r w:rsidR="00EB4B8C">
        <w:rPr>
          <w:sz w:val="22"/>
        </w:rPr>
        <w:t xml:space="preserve">the most </w:t>
      </w:r>
      <w:r w:rsidR="00CE4155">
        <w:rPr>
          <w:sz w:val="22"/>
        </w:rPr>
        <w:t xml:space="preserve">likely location with </w:t>
      </w:r>
      <w:r w:rsidR="00EB4B8C">
        <w:rPr>
          <w:sz w:val="22"/>
        </w:rPr>
        <w:t xml:space="preserve">an </w:t>
      </w:r>
      <w:r w:rsidR="00CE4155">
        <w:rPr>
          <w:sz w:val="22"/>
        </w:rPr>
        <w:t>option to attend by Zoom</w:t>
      </w:r>
      <w:r w:rsidR="00952BA1">
        <w:rPr>
          <w:sz w:val="22"/>
        </w:rPr>
        <w:t>.</w:t>
      </w:r>
      <w:r w:rsidR="00CE4155">
        <w:rPr>
          <w:sz w:val="22"/>
        </w:rPr>
        <w:t xml:space="preserve"> </w:t>
      </w:r>
      <w:r w:rsidR="00EB4B8C">
        <w:rPr>
          <w:sz w:val="22"/>
        </w:rPr>
        <w:t>Based on travel restrictions, the meeting could pivot</w:t>
      </w:r>
      <w:r w:rsidR="008F1A9B">
        <w:rPr>
          <w:sz w:val="22"/>
        </w:rPr>
        <w:t xml:space="preserve"> to all Zoom if necessary.</w:t>
      </w:r>
    </w:p>
    <w:p w14:paraId="6E7B2471" w14:textId="0531FAB7" w:rsidR="00F359F1" w:rsidRDefault="00F359F1" w:rsidP="006679D3">
      <w:pPr>
        <w:pStyle w:val="ListParagraph"/>
        <w:ind w:left="360"/>
        <w:jc w:val="both"/>
        <w:rPr>
          <w:sz w:val="22"/>
        </w:rPr>
      </w:pPr>
    </w:p>
    <w:p w14:paraId="696BF51A" w14:textId="145ECC4B" w:rsidR="00F359F1" w:rsidRDefault="00F359F1" w:rsidP="006679D3">
      <w:pPr>
        <w:pStyle w:val="ListParagraph"/>
        <w:ind w:left="360"/>
        <w:jc w:val="both"/>
        <w:rPr>
          <w:sz w:val="22"/>
        </w:rPr>
      </w:pPr>
      <w:r>
        <w:rPr>
          <w:sz w:val="22"/>
        </w:rPr>
        <w:t xml:space="preserve">Kelsey </w:t>
      </w:r>
      <w:r w:rsidR="00EB4B8C">
        <w:rPr>
          <w:sz w:val="22"/>
        </w:rPr>
        <w:t>volunteered</w:t>
      </w:r>
      <w:r w:rsidR="004A71CA">
        <w:rPr>
          <w:sz w:val="22"/>
        </w:rPr>
        <w:t xml:space="preserve"> to ser</w:t>
      </w:r>
      <w:r w:rsidR="00EB4B8C">
        <w:rPr>
          <w:sz w:val="22"/>
        </w:rPr>
        <w:t>v</w:t>
      </w:r>
      <w:r w:rsidR="004A71CA">
        <w:rPr>
          <w:sz w:val="22"/>
        </w:rPr>
        <w:t>e as secretary for 2022</w:t>
      </w:r>
      <w:r w:rsidR="00EB4B8C">
        <w:rPr>
          <w:sz w:val="22"/>
        </w:rPr>
        <w:t xml:space="preserve"> (self-nominated).  A motion to close nominations was provided by Alyssa with a second provided </w:t>
      </w:r>
      <w:r w:rsidR="004A71CA">
        <w:rPr>
          <w:sz w:val="22"/>
        </w:rPr>
        <w:t xml:space="preserve">by </w:t>
      </w:r>
      <w:r w:rsidR="00EB4B8C">
        <w:rPr>
          <w:sz w:val="22"/>
        </w:rPr>
        <w:t>Albert.  Kelsey’s nomination was confirmed by all</w:t>
      </w:r>
      <w:r w:rsidR="0037653D">
        <w:rPr>
          <w:sz w:val="22"/>
        </w:rPr>
        <w:t xml:space="preserve"> attendees</w:t>
      </w:r>
      <w:r w:rsidR="00EB4B8C">
        <w:rPr>
          <w:sz w:val="22"/>
        </w:rPr>
        <w:t>.</w:t>
      </w:r>
    </w:p>
    <w:p w14:paraId="755BAA56" w14:textId="58A2AD63" w:rsidR="00A10BC5" w:rsidRDefault="00A10BC5" w:rsidP="006679D3">
      <w:pPr>
        <w:pStyle w:val="ListParagraph"/>
        <w:ind w:left="360"/>
        <w:jc w:val="both"/>
        <w:rPr>
          <w:sz w:val="22"/>
        </w:rPr>
      </w:pPr>
    </w:p>
    <w:p w14:paraId="73E28A73" w14:textId="571321F8" w:rsidR="00A10BC5" w:rsidRPr="008A305E" w:rsidRDefault="00EB4B8C" w:rsidP="006679D3">
      <w:pPr>
        <w:pStyle w:val="ListParagraph"/>
        <w:ind w:left="360"/>
        <w:jc w:val="both"/>
        <w:rPr>
          <w:sz w:val="22"/>
        </w:rPr>
      </w:pPr>
      <w:r>
        <w:rPr>
          <w:sz w:val="22"/>
        </w:rPr>
        <w:t>Eric DeWolf provided a motion to adjourn the meeting while also thanking Alyssa for her hard work and dedication to the 2021 meeting.  The m</w:t>
      </w:r>
      <w:r w:rsidR="00A10BC5">
        <w:rPr>
          <w:sz w:val="22"/>
        </w:rPr>
        <w:t>otion to a</w:t>
      </w:r>
      <w:r>
        <w:rPr>
          <w:sz w:val="22"/>
        </w:rPr>
        <w:t>djourn was seconded by Alyssa.</w:t>
      </w:r>
      <w:r w:rsidR="00611632">
        <w:rPr>
          <w:sz w:val="22"/>
        </w:rPr>
        <w:t xml:space="preserve">  The meeting was concluded at approximately 1:00PM EST.</w:t>
      </w:r>
    </w:p>
    <w:p w14:paraId="433CCE44" w14:textId="3801D622" w:rsidR="006E5152" w:rsidRDefault="006E5152" w:rsidP="006679D3">
      <w:pPr>
        <w:pStyle w:val="ListParagraph"/>
        <w:ind w:left="360"/>
        <w:jc w:val="both"/>
        <w:rPr>
          <w:bCs/>
          <w:sz w:val="22"/>
        </w:rPr>
      </w:pPr>
    </w:p>
    <w:p w14:paraId="3980A720" w14:textId="77777777" w:rsidR="00DC1D35" w:rsidRPr="00C309BF" w:rsidRDefault="00DC1D35" w:rsidP="00915768">
      <w:pPr>
        <w:pStyle w:val="ListParagraph"/>
        <w:ind w:left="360"/>
        <w:rPr>
          <w:bCs/>
          <w:sz w:val="22"/>
        </w:rPr>
      </w:pPr>
    </w:p>
    <w:p w14:paraId="223D211B" w14:textId="77777777" w:rsidR="00982C08" w:rsidRPr="001A09BE" w:rsidRDefault="00982C08" w:rsidP="00982C08">
      <w:pPr>
        <w:pStyle w:val="ListParagraph"/>
        <w:ind w:left="360"/>
        <w:rPr>
          <w:bCs/>
          <w:sz w:val="22"/>
        </w:rPr>
      </w:pPr>
    </w:p>
    <w:p w14:paraId="1EDE1908" w14:textId="4973147C" w:rsidR="00520E39" w:rsidRPr="004E2084" w:rsidRDefault="00520E39" w:rsidP="00F77A07">
      <w:pPr>
        <w:rPr>
          <w:bCs/>
          <w:sz w:val="22"/>
        </w:rPr>
      </w:pPr>
    </w:p>
    <w:p w14:paraId="5EE5A4F3" w14:textId="77777777" w:rsidR="00520E39" w:rsidRPr="00CE3066" w:rsidRDefault="00520E39" w:rsidP="00F77A07">
      <w:pPr>
        <w:rPr>
          <w:bCs/>
          <w:sz w:val="22"/>
        </w:rPr>
      </w:pPr>
    </w:p>
    <w:p w14:paraId="221DAC2E" w14:textId="77777777" w:rsidR="00DC1AEE" w:rsidRDefault="00DC1AEE"/>
    <w:sectPr w:rsidR="00DC1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3313B"/>
    <w:multiLevelType w:val="hybridMultilevel"/>
    <w:tmpl w:val="29B682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53B"/>
    <w:rsid w:val="000071ED"/>
    <w:rsid w:val="00010504"/>
    <w:rsid w:val="000111DC"/>
    <w:rsid w:val="00020B77"/>
    <w:rsid w:val="00030F24"/>
    <w:rsid w:val="000A37F3"/>
    <w:rsid w:val="000F295A"/>
    <w:rsid w:val="001213E2"/>
    <w:rsid w:val="00142839"/>
    <w:rsid w:val="0015497C"/>
    <w:rsid w:val="00174E0F"/>
    <w:rsid w:val="00174EB2"/>
    <w:rsid w:val="00187E34"/>
    <w:rsid w:val="001A09BE"/>
    <w:rsid w:val="001B5849"/>
    <w:rsid w:val="00226ABD"/>
    <w:rsid w:val="00234A9A"/>
    <w:rsid w:val="002C2782"/>
    <w:rsid w:val="002C4FBE"/>
    <w:rsid w:val="002D0DA8"/>
    <w:rsid w:val="002E5FD4"/>
    <w:rsid w:val="002E6AFD"/>
    <w:rsid w:val="00316F6D"/>
    <w:rsid w:val="003432C5"/>
    <w:rsid w:val="0036293C"/>
    <w:rsid w:val="00366151"/>
    <w:rsid w:val="0037653D"/>
    <w:rsid w:val="00391181"/>
    <w:rsid w:val="003961BB"/>
    <w:rsid w:val="003E6B63"/>
    <w:rsid w:val="00432FF7"/>
    <w:rsid w:val="00452687"/>
    <w:rsid w:val="00454A51"/>
    <w:rsid w:val="00457C9E"/>
    <w:rsid w:val="00481CEE"/>
    <w:rsid w:val="004A00F3"/>
    <w:rsid w:val="004A71CA"/>
    <w:rsid w:val="004B7E50"/>
    <w:rsid w:val="004C2028"/>
    <w:rsid w:val="004E2084"/>
    <w:rsid w:val="004E2CC1"/>
    <w:rsid w:val="00505199"/>
    <w:rsid w:val="00513177"/>
    <w:rsid w:val="00515859"/>
    <w:rsid w:val="00515CAE"/>
    <w:rsid w:val="00520B4B"/>
    <w:rsid w:val="00520E39"/>
    <w:rsid w:val="00532429"/>
    <w:rsid w:val="00552B50"/>
    <w:rsid w:val="0055353B"/>
    <w:rsid w:val="00567921"/>
    <w:rsid w:val="00573AC6"/>
    <w:rsid w:val="005953FF"/>
    <w:rsid w:val="005A0F0B"/>
    <w:rsid w:val="005A158D"/>
    <w:rsid w:val="006054B2"/>
    <w:rsid w:val="006066DC"/>
    <w:rsid w:val="00611632"/>
    <w:rsid w:val="00631CCB"/>
    <w:rsid w:val="00652FAC"/>
    <w:rsid w:val="006679D3"/>
    <w:rsid w:val="006A1D34"/>
    <w:rsid w:val="006E5152"/>
    <w:rsid w:val="006E57C0"/>
    <w:rsid w:val="0070624B"/>
    <w:rsid w:val="007120A8"/>
    <w:rsid w:val="00712DBE"/>
    <w:rsid w:val="0076304A"/>
    <w:rsid w:val="00783D73"/>
    <w:rsid w:val="00783E59"/>
    <w:rsid w:val="0081136D"/>
    <w:rsid w:val="00816ECD"/>
    <w:rsid w:val="00820E9D"/>
    <w:rsid w:val="00825A4E"/>
    <w:rsid w:val="00845B9E"/>
    <w:rsid w:val="008844B6"/>
    <w:rsid w:val="008A305E"/>
    <w:rsid w:val="008B6015"/>
    <w:rsid w:val="008B7F8E"/>
    <w:rsid w:val="008D0190"/>
    <w:rsid w:val="008D098E"/>
    <w:rsid w:val="008D1A5E"/>
    <w:rsid w:val="008F1A9B"/>
    <w:rsid w:val="00901529"/>
    <w:rsid w:val="00907A2A"/>
    <w:rsid w:val="00915768"/>
    <w:rsid w:val="009210EB"/>
    <w:rsid w:val="00927638"/>
    <w:rsid w:val="009366D0"/>
    <w:rsid w:val="00952BA1"/>
    <w:rsid w:val="009603B0"/>
    <w:rsid w:val="009660D3"/>
    <w:rsid w:val="00982C08"/>
    <w:rsid w:val="00983F90"/>
    <w:rsid w:val="009B6828"/>
    <w:rsid w:val="009C0AB4"/>
    <w:rsid w:val="009E515F"/>
    <w:rsid w:val="009E59F0"/>
    <w:rsid w:val="00A10BC5"/>
    <w:rsid w:val="00A246F3"/>
    <w:rsid w:val="00A523E7"/>
    <w:rsid w:val="00A82530"/>
    <w:rsid w:val="00A86FF9"/>
    <w:rsid w:val="00B07D60"/>
    <w:rsid w:val="00B4778F"/>
    <w:rsid w:val="00B57AAB"/>
    <w:rsid w:val="00BA4053"/>
    <w:rsid w:val="00BB2A6B"/>
    <w:rsid w:val="00BC592F"/>
    <w:rsid w:val="00BD2A21"/>
    <w:rsid w:val="00C10A44"/>
    <w:rsid w:val="00C22BB7"/>
    <w:rsid w:val="00C309BF"/>
    <w:rsid w:val="00C37880"/>
    <w:rsid w:val="00C64AF8"/>
    <w:rsid w:val="00C662F1"/>
    <w:rsid w:val="00C974FF"/>
    <w:rsid w:val="00CB3783"/>
    <w:rsid w:val="00CC3BBF"/>
    <w:rsid w:val="00CC4D71"/>
    <w:rsid w:val="00CE3066"/>
    <w:rsid w:val="00CE4155"/>
    <w:rsid w:val="00CE65D1"/>
    <w:rsid w:val="00D16D33"/>
    <w:rsid w:val="00D1713F"/>
    <w:rsid w:val="00D22DB2"/>
    <w:rsid w:val="00D5642E"/>
    <w:rsid w:val="00D71D3F"/>
    <w:rsid w:val="00D73282"/>
    <w:rsid w:val="00D90907"/>
    <w:rsid w:val="00DA2178"/>
    <w:rsid w:val="00DA36AF"/>
    <w:rsid w:val="00DC1AEE"/>
    <w:rsid w:val="00DC1D35"/>
    <w:rsid w:val="00DE30BE"/>
    <w:rsid w:val="00DF688E"/>
    <w:rsid w:val="00E04744"/>
    <w:rsid w:val="00E21E41"/>
    <w:rsid w:val="00E83056"/>
    <w:rsid w:val="00E91381"/>
    <w:rsid w:val="00E92AB6"/>
    <w:rsid w:val="00EB4B8C"/>
    <w:rsid w:val="00EB6BAC"/>
    <w:rsid w:val="00ED5C7A"/>
    <w:rsid w:val="00EF0A40"/>
    <w:rsid w:val="00EF2E28"/>
    <w:rsid w:val="00F06AB2"/>
    <w:rsid w:val="00F359F1"/>
    <w:rsid w:val="00F526E4"/>
    <w:rsid w:val="00F77A07"/>
    <w:rsid w:val="00F93113"/>
    <w:rsid w:val="00FC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79D26"/>
  <w15:chartTrackingRefBased/>
  <w15:docId w15:val="{B02ED456-3746-4439-9FB1-F166B379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53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53B"/>
    <w:pPr>
      <w:ind w:left="720"/>
      <w:contextualSpacing/>
    </w:pPr>
  </w:style>
  <w:style w:type="character" w:styleId="Hyperlink">
    <w:name w:val="Hyperlink"/>
    <w:basedOn w:val="DefaultParagraphFont"/>
    <w:uiPriority w:val="99"/>
    <w:unhideWhenUsed/>
    <w:rsid w:val="005A158D"/>
    <w:rPr>
      <w:color w:val="0563C1" w:themeColor="hyperlink"/>
      <w:u w:val="single"/>
    </w:rPr>
  </w:style>
  <w:style w:type="character" w:styleId="UnresolvedMention">
    <w:name w:val="Unresolved Mention"/>
    <w:basedOn w:val="DefaultParagraphFont"/>
    <w:uiPriority w:val="99"/>
    <w:semiHidden/>
    <w:unhideWhenUsed/>
    <w:rsid w:val="005A1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ra-saes.org/multistate-handboo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5E426747F85F4783FE315AB628FF3F" ma:contentTypeVersion="13" ma:contentTypeDescription="Create a new document." ma:contentTypeScope="" ma:versionID="7c4fa229d5a6808638c714b1ef3775cf">
  <xsd:schema xmlns:xsd="http://www.w3.org/2001/XMLSchema" xmlns:xs="http://www.w3.org/2001/XMLSchema" xmlns:p="http://schemas.microsoft.com/office/2006/metadata/properties" xmlns:ns3="32487530-2d6a-46d9-9c3c-b523e2e4cab9" xmlns:ns4="68dd7965-4225-4abe-afac-de163f7e94a5" targetNamespace="http://schemas.microsoft.com/office/2006/metadata/properties" ma:root="true" ma:fieldsID="bc4bee7ef7681abcf3b3218b166797c6" ns3:_="" ns4:_="">
    <xsd:import namespace="32487530-2d6a-46d9-9c3c-b523e2e4cab9"/>
    <xsd:import namespace="68dd7965-4225-4abe-afac-de163f7e94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87530-2d6a-46d9-9c3c-b523e2e4c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dd7965-4225-4abe-afac-de163f7e94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8DB133-7A26-4C15-B00A-D40665AAE7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F612D6-9AD3-4BA9-8272-3CFC73582329}">
  <ds:schemaRefs>
    <ds:schemaRef ds:uri="http://schemas.microsoft.com/sharepoint/v3/contenttype/forms"/>
  </ds:schemaRefs>
</ds:datastoreItem>
</file>

<file path=customXml/itemProps3.xml><?xml version="1.0" encoding="utf-8"?>
<ds:datastoreItem xmlns:ds="http://schemas.openxmlformats.org/officeDocument/2006/customXml" ds:itemID="{5D60CD90-37B8-4535-ABE8-A8B97E525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87530-2d6a-46d9-9c3c-b523e2e4cab9"/>
    <ds:schemaRef ds:uri="68dd7965-4225-4abe-afac-de163f7e9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N Spurlock</dc:creator>
  <cp:keywords/>
  <dc:description/>
  <cp:lastModifiedBy>Terry N Spurlock</cp:lastModifiedBy>
  <cp:revision>4</cp:revision>
  <dcterms:created xsi:type="dcterms:W3CDTF">2021-03-24T19:11:00Z</dcterms:created>
  <dcterms:modified xsi:type="dcterms:W3CDTF">2021-03-24T20:21:00Z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0x0101004E5E426747F85F4783FE315AB628FF3F</vt:lpwstr>
  </property>
</Properties>
</file>