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A0A4D5" w14:textId="4B6C8B77" w:rsidR="008C2EF0" w:rsidRDefault="008C2EF0" w:rsidP="008C2EF0">
      <w:pPr>
        <w:jc w:val="center"/>
      </w:pPr>
      <w:r>
        <w:t xml:space="preserve">Response to Reviewers </w:t>
      </w:r>
    </w:p>
    <w:p w14:paraId="28BE0903" w14:textId="77CE9665" w:rsidR="008C2EF0" w:rsidRDefault="008C2EF0" w:rsidP="008C2EF0">
      <w:pPr>
        <w:jc w:val="center"/>
      </w:pPr>
      <w:r>
        <w:t>“</w:t>
      </w:r>
      <w:r w:rsidRPr="008C2EF0">
        <w:t>NE_TEMP2603:</w:t>
      </w:r>
      <w:r>
        <w:t xml:space="preserve"> </w:t>
      </w:r>
      <w:r w:rsidRPr="008C2EF0">
        <w:t>Advancin</w:t>
      </w:r>
      <w:r>
        <w:t>g high tunnel specialty crop production”</w:t>
      </w:r>
    </w:p>
    <w:p w14:paraId="4B4796FE" w14:textId="644068F9" w:rsidR="00CE5058" w:rsidRDefault="008C2EF0" w:rsidP="008C2EF0">
      <w:r>
        <w:t xml:space="preserve">The original review is included below along with our responses in </w:t>
      </w:r>
      <w:r w:rsidR="00CE5058">
        <w:t>italicized</w:t>
      </w:r>
      <w:r>
        <w:t xml:space="preserve"> text</w:t>
      </w:r>
      <w:r w:rsidR="00CE5058">
        <w:t>:</w:t>
      </w:r>
    </w:p>
    <w:p w14:paraId="2A7D34BF" w14:textId="7252D06B" w:rsidR="008C2EF0" w:rsidRPr="00AE2E74" w:rsidRDefault="008C2EF0" w:rsidP="008C2EF0">
      <w:pPr>
        <w:rPr>
          <w:u w:val="single"/>
        </w:rPr>
      </w:pPr>
      <w:r w:rsidRPr="00AE2E74">
        <w:rPr>
          <w:u w:val="single"/>
        </w:rPr>
        <w:t xml:space="preserve">Comments from Reviewer 1: </w:t>
      </w:r>
    </w:p>
    <w:p w14:paraId="7E9C19E0" w14:textId="1E66CC10" w:rsidR="008C2EF0" w:rsidRDefault="008C2EF0" w:rsidP="008C2EF0">
      <w:r w:rsidRPr="008C2EF0">
        <w:t>Project</w:t>
      </w:r>
      <w:r>
        <w:t xml:space="preserve"> </w:t>
      </w:r>
      <w:r w:rsidRPr="008C2EF0">
        <w:t>objectives</w:t>
      </w:r>
      <w:r>
        <w:t xml:space="preserve"> </w:t>
      </w:r>
      <w:r w:rsidRPr="008C2EF0">
        <w:t>are</w:t>
      </w:r>
      <w:r>
        <w:t xml:space="preserve"> </w:t>
      </w:r>
      <w:r w:rsidRPr="008C2EF0">
        <w:t>well</w:t>
      </w:r>
      <w:r>
        <w:t xml:space="preserve"> </w:t>
      </w:r>
      <w:r w:rsidRPr="008C2EF0">
        <w:t>developed</w:t>
      </w:r>
      <w:r>
        <w:t xml:space="preserve"> </w:t>
      </w:r>
      <w:r w:rsidRPr="008C2EF0">
        <w:t>and</w:t>
      </w:r>
      <w:r w:rsidRPr="008C2EF0">
        <w:tab/>
        <w:t>defined,</w:t>
      </w:r>
      <w:r>
        <w:t xml:space="preserve"> </w:t>
      </w:r>
      <w:r w:rsidRPr="008C2EF0">
        <w:t>needs</w:t>
      </w:r>
      <w:r>
        <w:t xml:space="preserve"> </w:t>
      </w:r>
      <w:r w:rsidRPr="008C2EF0">
        <w:t>and</w:t>
      </w:r>
      <w:r>
        <w:t xml:space="preserve"> </w:t>
      </w:r>
      <w:r w:rsidRPr="008C2EF0">
        <w:t>opportunities</w:t>
      </w:r>
      <w:r>
        <w:t xml:space="preserve"> are clear and well supported. Specific details regarding cooperative activities would illustrate how objective will be met. For example, how will growers be assessed – stand along surveys, event questionnaires – how many on-farm trial will be carried out per experimental question, how many factsheets, guides, journal publications, etc. will be published per objective and when will these be published. Milestones should include specific deliverable targets. </w:t>
      </w:r>
    </w:p>
    <w:p w14:paraId="4F33E23D" w14:textId="1908FDBC" w:rsidR="00CE5058" w:rsidRPr="00C51DCF" w:rsidRDefault="00C51DCF" w:rsidP="008C2EF0">
      <w:pPr>
        <w:rPr>
          <w:i/>
          <w:iCs/>
        </w:rPr>
      </w:pPr>
      <w:r w:rsidRPr="00C51DCF">
        <w:rPr>
          <w:i/>
          <w:iCs/>
        </w:rPr>
        <w:t>Team</w:t>
      </w:r>
      <w:r w:rsidR="00300CEA" w:rsidRPr="00C51DCF">
        <w:rPr>
          <w:i/>
          <w:iCs/>
        </w:rPr>
        <w:t xml:space="preserve"> response: </w:t>
      </w:r>
      <w:r w:rsidR="00E13BFD">
        <w:rPr>
          <w:i/>
          <w:iCs/>
        </w:rPr>
        <w:t xml:space="preserve">More details were added in Objective 1 that will require stakeholder engagement with extension educators. </w:t>
      </w:r>
      <w:r w:rsidR="0043635A">
        <w:rPr>
          <w:i/>
          <w:iCs/>
        </w:rPr>
        <w:t xml:space="preserve">Targets were also listed in the </w:t>
      </w:r>
      <w:r w:rsidR="001F7DED">
        <w:rPr>
          <w:i/>
          <w:iCs/>
        </w:rPr>
        <w:t>Milestones</w:t>
      </w:r>
      <w:r w:rsidR="00183403">
        <w:rPr>
          <w:i/>
          <w:iCs/>
        </w:rPr>
        <w:t xml:space="preserve"> section to map out</w:t>
      </w:r>
      <w:r w:rsidR="0043635A">
        <w:rPr>
          <w:i/>
          <w:iCs/>
        </w:rPr>
        <w:t xml:space="preserve"> progress of our objectives</w:t>
      </w:r>
      <w:r w:rsidR="00183403">
        <w:rPr>
          <w:i/>
          <w:iCs/>
        </w:rPr>
        <w:t xml:space="preserve">. </w:t>
      </w:r>
      <w:r w:rsidR="00C01199">
        <w:rPr>
          <w:i/>
          <w:iCs/>
        </w:rPr>
        <w:t xml:space="preserve">Because this project is new, some details </w:t>
      </w:r>
      <w:r w:rsidR="00611908">
        <w:rPr>
          <w:i/>
          <w:iCs/>
        </w:rPr>
        <w:t>regarding</w:t>
      </w:r>
      <w:r w:rsidR="00C01199">
        <w:rPr>
          <w:i/>
          <w:iCs/>
        </w:rPr>
        <w:t xml:space="preserve"> experimental design are uncertain and will be discussed </w:t>
      </w:r>
      <w:r w:rsidR="00611908">
        <w:rPr>
          <w:i/>
          <w:iCs/>
        </w:rPr>
        <w:t>during our first project meeting.</w:t>
      </w:r>
      <w:r w:rsidR="005C3FFA">
        <w:rPr>
          <w:i/>
          <w:iCs/>
        </w:rPr>
        <w:t xml:space="preserve"> Target numbers of outputs were also listed (extension articles, guidelines, and research papers) based on a project membership number.</w:t>
      </w:r>
      <w:r w:rsidR="009E7A35">
        <w:rPr>
          <w:i/>
          <w:iCs/>
        </w:rPr>
        <w:t xml:space="preserve"> However, the publication date is difficult to project as the review and revision timeline can vary substantially among </w:t>
      </w:r>
      <w:r w:rsidR="00882B53" w:rsidRPr="00882B53">
        <w:rPr>
          <w:i/>
          <w:iCs/>
        </w:rPr>
        <w:t>manuscripts</w:t>
      </w:r>
      <w:r w:rsidR="00882B53">
        <w:rPr>
          <w:i/>
          <w:iCs/>
        </w:rPr>
        <w:t xml:space="preserve"> and</w:t>
      </w:r>
      <w:r w:rsidR="00882B53" w:rsidRPr="00882B53">
        <w:rPr>
          <w:i/>
          <w:iCs/>
        </w:rPr>
        <w:t xml:space="preserve"> </w:t>
      </w:r>
      <w:r w:rsidR="009E7A35">
        <w:rPr>
          <w:i/>
          <w:iCs/>
        </w:rPr>
        <w:t>journals</w:t>
      </w:r>
      <w:r w:rsidR="00882B53">
        <w:rPr>
          <w:i/>
          <w:iCs/>
        </w:rPr>
        <w:t xml:space="preserve">. </w:t>
      </w:r>
    </w:p>
    <w:p w14:paraId="12A90D3D" w14:textId="5A3B38E6" w:rsidR="008C2EF0" w:rsidRPr="00AE2E74" w:rsidRDefault="008C2EF0" w:rsidP="008C2EF0">
      <w:pPr>
        <w:rPr>
          <w:u w:val="single"/>
        </w:rPr>
      </w:pPr>
      <w:r w:rsidRPr="00AE2E74">
        <w:rPr>
          <w:u w:val="single"/>
        </w:rPr>
        <w:t xml:space="preserve">Comments from Reviewer 2: </w:t>
      </w:r>
    </w:p>
    <w:p w14:paraId="333DA64F" w14:textId="2162D05B" w:rsidR="008C2EF0" w:rsidRDefault="008C2EF0" w:rsidP="008C2EF0">
      <w:r>
        <w:t>There is strong justification for the work but the approach is very broad. After the work of NEC-2013 one would hope that some more focused / prioritized issues could be presented for research and outreach. While the objectives ring true and the approaches make se</w:t>
      </w:r>
      <w:r w:rsidR="005C3FFA">
        <w:t>n</w:t>
      </w:r>
      <w:r>
        <w:t>se, th</w:t>
      </w:r>
      <w:r w:rsidR="005C3FFA">
        <w:t>ey</w:t>
      </w:r>
      <w:r>
        <w:t xml:space="preserve"> do not make a compelling case for generating and aggregating the data needed to develop robust improvements to high tunnel management recommendations. For example, a more cohesive approach could be presented to </w:t>
      </w:r>
      <w:r w:rsidR="005C3FFA">
        <w:t>improve</w:t>
      </w:r>
      <w:r>
        <w:t xml:space="preserve"> our understanding of high tunnel air management (temperature, humidity, carbon dioxide) by laying out a detailed and coordinate research agenda (rather than a few possible project examples) to assess the impact of different circulation, ventilation, shading, misting, and environmental controls systems. The same could be said for pest management – it is too early to name some key insects and diseases that high tunnel growers struggle to management, and then present a suite of research objectives for improved IPM for those? Perhaps that work will take place in future team meetings but the proposal seems like a good place to more clearly articulate specific research projects under each broad objective.</w:t>
      </w:r>
    </w:p>
    <w:p w14:paraId="712E3031" w14:textId="12616E19" w:rsidR="00C51DCF" w:rsidRPr="00C51DCF" w:rsidRDefault="00C51DCF" w:rsidP="00C51DCF">
      <w:pPr>
        <w:rPr>
          <w:i/>
          <w:iCs/>
        </w:rPr>
      </w:pPr>
      <w:r w:rsidRPr="00C51DCF">
        <w:rPr>
          <w:i/>
          <w:iCs/>
        </w:rPr>
        <w:lastRenderedPageBreak/>
        <w:t xml:space="preserve">Team response: </w:t>
      </w:r>
      <w:r w:rsidR="00AA6A76">
        <w:rPr>
          <w:i/>
          <w:iCs/>
        </w:rPr>
        <w:t xml:space="preserve">A more detailed research agenda was described for each objective. </w:t>
      </w:r>
      <w:r w:rsidR="00A3259E">
        <w:rPr>
          <w:i/>
          <w:iCs/>
        </w:rPr>
        <w:t xml:space="preserve">Because this project spans regions that </w:t>
      </w:r>
      <w:r w:rsidR="00E538FF">
        <w:rPr>
          <w:i/>
          <w:iCs/>
        </w:rPr>
        <w:t xml:space="preserve">may have unique pest/disease complexes, the pest management section was left somewhat generic to provide flexibility. However, we do know that several groups tend to be consistently </w:t>
      </w:r>
      <w:r w:rsidR="00A1786E">
        <w:rPr>
          <w:i/>
          <w:iCs/>
        </w:rPr>
        <w:t>problematic</w:t>
      </w:r>
      <w:r w:rsidR="00FE1CFE">
        <w:rPr>
          <w:i/>
          <w:iCs/>
        </w:rPr>
        <w:t>,</w:t>
      </w:r>
      <w:r w:rsidR="00A1786E">
        <w:rPr>
          <w:i/>
          <w:iCs/>
        </w:rPr>
        <w:t xml:space="preserve"> and </w:t>
      </w:r>
      <w:r w:rsidR="00FE1CFE">
        <w:rPr>
          <w:i/>
          <w:iCs/>
        </w:rPr>
        <w:t xml:space="preserve">we </w:t>
      </w:r>
      <w:r w:rsidR="00A1786E">
        <w:rPr>
          <w:i/>
          <w:iCs/>
        </w:rPr>
        <w:t xml:space="preserve">listed them. </w:t>
      </w:r>
      <w:r w:rsidR="002B47FB">
        <w:rPr>
          <w:i/>
          <w:iCs/>
        </w:rPr>
        <w:t>We also tightened our pest management approach by evaluating biopesticide</w:t>
      </w:r>
      <w:r w:rsidR="00B156EB">
        <w:rPr>
          <w:i/>
          <w:iCs/>
        </w:rPr>
        <w:t xml:space="preserve">, </w:t>
      </w:r>
      <w:r w:rsidR="002B47FB">
        <w:rPr>
          <w:i/>
          <w:iCs/>
        </w:rPr>
        <w:t>biocontrol</w:t>
      </w:r>
      <w:r w:rsidR="00B156EB">
        <w:rPr>
          <w:i/>
          <w:iCs/>
        </w:rPr>
        <w:t xml:space="preserve">, or 25(b) exempt products </w:t>
      </w:r>
      <w:r w:rsidR="002B47FB">
        <w:rPr>
          <w:i/>
          <w:iCs/>
        </w:rPr>
        <w:t>as pest intervention tools</w:t>
      </w:r>
      <w:r w:rsidR="00B156EB">
        <w:rPr>
          <w:i/>
          <w:iCs/>
        </w:rPr>
        <w:t xml:space="preserve"> of interest</w:t>
      </w:r>
      <w:r w:rsidR="002B47FB">
        <w:rPr>
          <w:i/>
          <w:iCs/>
        </w:rPr>
        <w:t xml:space="preserve">. </w:t>
      </w:r>
      <w:r w:rsidR="00CE5201">
        <w:rPr>
          <w:i/>
          <w:iCs/>
        </w:rPr>
        <w:t xml:space="preserve">These tools are important in high tunnels where </w:t>
      </w:r>
      <w:r w:rsidR="00B156EB">
        <w:rPr>
          <w:i/>
          <w:iCs/>
        </w:rPr>
        <w:t xml:space="preserve">spray </w:t>
      </w:r>
      <w:r w:rsidR="00CE5201">
        <w:rPr>
          <w:i/>
          <w:iCs/>
        </w:rPr>
        <w:t xml:space="preserve">products are not available for specific target sites/pests. </w:t>
      </w:r>
      <w:r w:rsidR="00B156EB">
        <w:rPr>
          <w:i/>
          <w:iCs/>
        </w:rPr>
        <w:t>Further justification for this choice was described in previous sections.</w:t>
      </w:r>
    </w:p>
    <w:p w14:paraId="6B2C042C" w14:textId="7F9A003D" w:rsidR="008C2EF0" w:rsidRPr="00B156EB" w:rsidRDefault="008C2EF0" w:rsidP="008C2EF0">
      <w:pPr>
        <w:rPr>
          <w:u w:val="single"/>
        </w:rPr>
      </w:pPr>
      <w:r w:rsidRPr="00B156EB">
        <w:rPr>
          <w:u w:val="single"/>
        </w:rPr>
        <w:t xml:space="preserve">Comments from Reviewer 3:  </w:t>
      </w:r>
    </w:p>
    <w:p w14:paraId="08C0F8EF" w14:textId="73731CE9" w:rsidR="00CE5058" w:rsidRDefault="00CE5058" w:rsidP="008C2EF0">
      <w:r>
        <w:t xml:space="preserve">The objectives are reasonable but </w:t>
      </w:r>
      <w:r w:rsidR="00FC37BB">
        <w:t>they</w:t>
      </w:r>
      <w:r>
        <w:t xml:space="preserve"> don’t feel especially holistic, either in terms of interdisciplinarity or in reflecting the systems thinking needed to meaningfully change how high tunnels are currently used. A more novel and potentially impactful approach might incorporate participatory research and/or deeper integration with non-biological scientists (e.g., engineering, design, economics, sociology, or planning). </w:t>
      </w:r>
    </w:p>
    <w:p w14:paraId="5843979F" w14:textId="1998982D" w:rsidR="00CE5058" w:rsidRDefault="00CE5058" w:rsidP="008C2EF0">
      <w:r>
        <w:t xml:space="preserve">Would advances in movable tunnel design help maintain soil health by enabling more effective crops and soil rotation? If so, why not include moveable tunnels or innovative tunnel redesign as part of Objective 3? This may be a more practical strategy for addressing several persistent challenges in tunnel production because it builds on existing production frameworks, rather than requiring a full redesign of farm management practices which are often location-dependent and inherently more complex. </w:t>
      </w:r>
    </w:p>
    <w:p w14:paraId="498FB266" w14:textId="2B43F1CB" w:rsidR="00CE5058" w:rsidRDefault="00CE5058" w:rsidP="008C2EF0">
      <w:r>
        <w:t xml:space="preserve">Finally, many growers are adopting containerized or hydroponic </w:t>
      </w:r>
      <w:r w:rsidR="007E3F50">
        <w:t>systems</w:t>
      </w:r>
      <w:r>
        <w:t xml:space="preserve"> within tunnels and avoiding soil-based production altogether. Would this part be inclusive of all tunnel growers, or only those using soil-based systems? If the latter, is there a clear rationale for excluding other protected cultivation contexts, such as caterpillar tunnels, low tunnels, or other low-cost structures that fall outside the “high tunnel” category?</w:t>
      </w:r>
    </w:p>
    <w:p w14:paraId="05747857" w14:textId="4CF0B72F" w:rsidR="005A4812" w:rsidRDefault="00E63185" w:rsidP="008C2EF0">
      <w:pPr>
        <w:rPr>
          <w:i/>
          <w:iCs/>
        </w:rPr>
      </w:pPr>
      <w:r w:rsidRPr="00C51DCF">
        <w:rPr>
          <w:i/>
          <w:iCs/>
        </w:rPr>
        <w:t xml:space="preserve">Team response: </w:t>
      </w:r>
      <w:r w:rsidR="00B34C8A">
        <w:rPr>
          <w:i/>
          <w:iCs/>
        </w:rPr>
        <w:t>More detail within each objective was included to strengthen our approach</w:t>
      </w:r>
      <w:r w:rsidR="00246F55">
        <w:rPr>
          <w:i/>
          <w:iCs/>
        </w:rPr>
        <w:t xml:space="preserve"> and systems-approach.</w:t>
      </w:r>
      <w:r w:rsidR="00B34C8A">
        <w:rPr>
          <w:i/>
          <w:iCs/>
        </w:rPr>
        <w:t xml:space="preserve">  </w:t>
      </w:r>
      <w:r w:rsidRPr="00C51DCF">
        <w:rPr>
          <w:i/>
          <w:iCs/>
        </w:rPr>
        <w:t>Our pr</w:t>
      </w:r>
      <w:r w:rsidR="00B34C8A">
        <w:rPr>
          <w:i/>
          <w:iCs/>
        </w:rPr>
        <w:t xml:space="preserve">oposal </w:t>
      </w:r>
      <w:r w:rsidRPr="00C51DCF">
        <w:rPr>
          <w:i/>
          <w:iCs/>
        </w:rPr>
        <w:t xml:space="preserve">is focused on the style of high tunnel funded by </w:t>
      </w:r>
      <w:r w:rsidR="008E410A">
        <w:rPr>
          <w:i/>
          <w:iCs/>
        </w:rPr>
        <w:t xml:space="preserve">the </w:t>
      </w:r>
      <w:r w:rsidRPr="00C51DCF">
        <w:rPr>
          <w:i/>
          <w:iCs/>
        </w:rPr>
        <w:t>NRCS</w:t>
      </w:r>
      <w:r w:rsidR="008E410A">
        <w:rPr>
          <w:i/>
          <w:iCs/>
        </w:rPr>
        <w:t xml:space="preserve"> High Tunnel Initiative</w:t>
      </w:r>
      <w:r w:rsidRPr="00C51DCF">
        <w:rPr>
          <w:i/>
          <w:iCs/>
        </w:rPr>
        <w:t>, as many growers receive</w:t>
      </w:r>
      <w:r w:rsidR="008E410A">
        <w:rPr>
          <w:i/>
          <w:iCs/>
        </w:rPr>
        <w:t>d</w:t>
      </w:r>
      <w:r w:rsidRPr="00C51DCF">
        <w:rPr>
          <w:i/>
          <w:iCs/>
        </w:rPr>
        <w:t xml:space="preserve"> their high tunnel through this cost-share program.</w:t>
      </w:r>
      <w:r w:rsidR="00B74727">
        <w:rPr>
          <w:i/>
          <w:iCs/>
        </w:rPr>
        <w:t xml:space="preserve"> This excludes soilless culture, low tunnels, and some caterpillar tunnels. </w:t>
      </w:r>
      <w:r w:rsidR="00EB12D8">
        <w:rPr>
          <w:i/>
          <w:iCs/>
        </w:rPr>
        <w:t xml:space="preserve">This was more clearly articulated in the </w:t>
      </w:r>
      <w:r w:rsidR="00853ABE">
        <w:rPr>
          <w:i/>
          <w:iCs/>
        </w:rPr>
        <w:t xml:space="preserve">Statement of Issue and Justification section. </w:t>
      </w:r>
      <w:r w:rsidR="00300FD7">
        <w:rPr>
          <w:i/>
          <w:iCs/>
        </w:rPr>
        <w:t xml:space="preserve">We agree that addressing tunnel structures would be important to Objective 3 and therefore included Objective 3D to measure climate conditions across high tunnel structures, including movable high tunnels, and compatibility with local climates. </w:t>
      </w:r>
      <w:r w:rsidR="00246F55">
        <w:rPr>
          <w:i/>
          <w:iCs/>
        </w:rPr>
        <w:t xml:space="preserve">However, it is important to note that </w:t>
      </w:r>
      <w:r w:rsidR="00FE1CFE">
        <w:rPr>
          <w:i/>
          <w:iCs/>
        </w:rPr>
        <w:t xml:space="preserve">although of interest for many growers, </w:t>
      </w:r>
      <w:r w:rsidR="00246F55">
        <w:rPr>
          <w:i/>
          <w:iCs/>
        </w:rPr>
        <w:t>m</w:t>
      </w:r>
      <w:r w:rsidR="00300FD7">
        <w:rPr>
          <w:i/>
          <w:iCs/>
        </w:rPr>
        <w:t xml:space="preserve">ovable tunnels are not very common among </w:t>
      </w:r>
      <w:r w:rsidR="00FE1CFE">
        <w:rPr>
          <w:i/>
          <w:iCs/>
        </w:rPr>
        <w:t xml:space="preserve">commercial </w:t>
      </w:r>
      <w:r w:rsidR="00300FD7">
        <w:rPr>
          <w:i/>
          <w:iCs/>
        </w:rPr>
        <w:t xml:space="preserve">growers </w:t>
      </w:r>
      <w:r w:rsidR="008C1F5E">
        <w:rPr>
          <w:i/>
          <w:iCs/>
        </w:rPr>
        <w:t>currently</w:t>
      </w:r>
      <w:r w:rsidR="00FE1CFE">
        <w:rPr>
          <w:i/>
          <w:iCs/>
        </w:rPr>
        <w:t xml:space="preserve">, for two primary reasons: 1) the higher cost </w:t>
      </w:r>
      <w:r w:rsidR="00FE1CFE">
        <w:rPr>
          <w:i/>
          <w:iCs/>
        </w:rPr>
        <w:lastRenderedPageBreak/>
        <w:t xml:space="preserve">of movable tunnels, </w:t>
      </w:r>
      <w:r w:rsidR="008C1F5E">
        <w:rPr>
          <w:i/>
          <w:iCs/>
        </w:rPr>
        <w:t xml:space="preserve"> and</w:t>
      </w:r>
      <w:r w:rsidR="00300FD7">
        <w:rPr>
          <w:i/>
          <w:iCs/>
        </w:rPr>
        <w:t xml:space="preserve"> </w:t>
      </w:r>
      <w:r w:rsidR="00FE1CFE">
        <w:rPr>
          <w:i/>
          <w:iCs/>
        </w:rPr>
        <w:t xml:space="preserve">2) they </w:t>
      </w:r>
      <w:r w:rsidR="00300FD7">
        <w:rPr>
          <w:i/>
          <w:iCs/>
        </w:rPr>
        <w:t>are not</w:t>
      </w:r>
      <w:r w:rsidR="00466921">
        <w:rPr>
          <w:i/>
          <w:iCs/>
        </w:rPr>
        <w:t xml:space="preserve"> always</w:t>
      </w:r>
      <w:r w:rsidR="00300FD7">
        <w:rPr>
          <w:i/>
          <w:iCs/>
        </w:rPr>
        <w:t xml:space="preserve"> suitable for windy conditions</w:t>
      </w:r>
      <w:r w:rsidR="00246F55">
        <w:rPr>
          <w:i/>
          <w:iCs/>
        </w:rPr>
        <w:t xml:space="preserve"> that</w:t>
      </w:r>
      <w:r w:rsidR="00466921">
        <w:rPr>
          <w:i/>
          <w:iCs/>
        </w:rPr>
        <w:t xml:space="preserve"> tend</w:t>
      </w:r>
      <w:r w:rsidR="00246F55">
        <w:rPr>
          <w:i/>
          <w:iCs/>
        </w:rPr>
        <w:t xml:space="preserve"> </w:t>
      </w:r>
      <w:r w:rsidR="00FE1CFE">
        <w:rPr>
          <w:i/>
          <w:iCs/>
        </w:rPr>
        <w:t xml:space="preserve">to </w:t>
      </w:r>
      <w:r w:rsidR="00246F55">
        <w:rPr>
          <w:i/>
          <w:iCs/>
        </w:rPr>
        <w:t xml:space="preserve">dominate </w:t>
      </w:r>
      <w:r w:rsidR="00466921">
        <w:rPr>
          <w:i/>
          <w:iCs/>
        </w:rPr>
        <w:t>Northern states where HTs are highly popular for season extension</w:t>
      </w:r>
      <w:r w:rsidR="008C1F5E">
        <w:rPr>
          <w:i/>
          <w:iCs/>
        </w:rPr>
        <w:t xml:space="preserve">. </w:t>
      </w:r>
    </w:p>
    <w:p w14:paraId="58C3EB34" w14:textId="77777777" w:rsidR="00AD1C80" w:rsidRPr="00C51DCF" w:rsidRDefault="00AD1C80" w:rsidP="008C2EF0">
      <w:pPr>
        <w:rPr>
          <w:i/>
          <w:iCs/>
        </w:rPr>
      </w:pPr>
    </w:p>
    <w:sectPr w:rsidR="00AD1C80" w:rsidRPr="00C51D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715067"/>
    <w:multiLevelType w:val="multilevel"/>
    <w:tmpl w:val="A4AAB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7E1ADD"/>
    <w:multiLevelType w:val="hybridMultilevel"/>
    <w:tmpl w:val="7D441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C7079"/>
    <w:multiLevelType w:val="multilevel"/>
    <w:tmpl w:val="293E9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D4412A"/>
    <w:multiLevelType w:val="multilevel"/>
    <w:tmpl w:val="60C02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C536AA"/>
    <w:multiLevelType w:val="multilevel"/>
    <w:tmpl w:val="BE64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F568ED"/>
    <w:multiLevelType w:val="multilevel"/>
    <w:tmpl w:val="2F7C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8867A6"/>
    <w:multiLevelType w:val="multilevel"/>
    <w:tmpl w:val="1084F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B85A81"/>
    <w:multiLevelType w:val="multilevel"/>
    <w:tmpl w:val="B1967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1D0F33"/>
    <w:multiLevelType w:val="multilevel"/>
    <w:tmpl w:val="A5FC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917794">
    <w:abstractNumId w:val="1"/>
  </w:num>
  <w:num w:numId="2" w16cid:durableId="394356487">
    <w:abstractNumId w:val="8"/>
  </w:num>
  <w:num w:numId="3" w16cid:durableId="1165515449">
    <w:abstractNumId w:val="2"/>
  </w:num>
  <w:num w:numId="4" w16cid:durableId="1577931257">
    <w:abstractNumId w:val="3"/>
  </w:num>
  <w:num w:numId="5" w16cid:durableId="1076513558">
    <w:abstractNumId w:val="0"/>
  </w:num>
  <w:num w:numId="6" w16cid:durableId="1429420881">
    <w:abstractNumId w:val="6"/>
  </w:num>
  <w:num w:numId="7" w16cid:durableId="1626036171">
    <w:abstractNumId w:val="4"/>
  </w:num>
  <w:num w:numId="8" w16cid:durableId="342323349">
    <w:abstractNumId w:val="5"/>
  </w:num>
  <w:num w:numId="9" w16cid:durableId="157951275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EF0"/>
    <w:rsid w:val="000367C7"/>
    <w:rsid w:val="000D307F"/>
    <w:rsid w:val="00183403"/>
    <w:rsid w:val="001F7DED"/>
    <w:rsid w:val="00246F55"/>
    <w:rsid w:val="002B47FB"/>
    <w:rsid w:val="00300CEA"/>
    <w:rsid w:val="00300FD7"/>
    <w:rsid w:val="0043251B"/>
    <w:rsid w:val="0043635A"/>
    <w:rsid w:val="00466921"/>
    <w:rsid w:val="00536C66"/>
    <w:rsid w:val="005A4812"/>
    <w:rsid w:val="005C3FFA"/>
    <w:rsid w:val="00611908"/>
    <w:rsid w:val="006A7616"/>
    <w:rsid w:val="007E3F50"/>
    <w:rsid w:val="00853ABE"/>
    <w:rsid w:val="00882B53"/>
    <w:rsid w:val="00884501"/>
    <w:rsid w:val="00897679"/>
    <w:rsid w:val="008C1F5E"/>
    <w:rsid w:val="008C2EF0"/>
    <w:rsid w:val="008E410A"/>
    <w:rsid w:val="009B323F"/>
    <w:rsid w:val="009E7A35"/>
    <w:rsid w:val="00A1786E"/>
    <w:rsid w:val="00A3259E"/>
    <w:rsid w:val="00A36046"/>
    <w:rsid w:val="00AA6A76"/>
    <w:rsid w:val="00AD1C80"/>
    <w:rsid w:val="00AE2E74"/>
    <w:rsid w:val="00B156EB"/>
    <w:rsid w:val="00B34C8A"/>
    <w:rsid w:val="00B52E4B"/>
    <w:rsid w:val="00B74727"/>
    <w:rsid w:val="00B803B7"/>
    <w:rsid w:val="00BB07CA"/>
    <w:rsid w:val="00BB44C2"/>
    <w:rsid w:val="00C01199"/>
    <w:rsid w:val="00C27A8F"/>
    <w:rsid w:val="00C51DCF"/>
    <w:rsid w:val="00CE5058"/>
    <w:rsid w:val="00CE5201"/>
    <w:rsid w:val="00D4399D"/>
    <w:rsid w:val="00D811AA"/>
    <w:rsid w:val="00E07DC3"/>
    <w:rsid w:val="00E13BFD"/>
    <w:rsid w:val="00E538FF"/>
    <w:rsid w:val="00E63185"/>
    <w:rsid w:val="00E707B3"/>
    <w:rsid w:val="00EB12D8"/>
    <w:rsid w:val="00F016DD"/>
    <w:rsid w:val="00F201D8"/>
    <w:rsid w:val="00F313FC"/>
    <w:rsid w:val="00F41D2E"/>
    <w:rsid w:val="00F91C59"/>
    <w:rsid w:val="00FB31CC"/>
    <w:rsid w:val="00FC37BB"/>
    <w:rsid w:val="00FE1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013C6"/>
  <w15:chartTrackingRefBased/>
  <w15:docId w15:val="{D2424FB7-94ED-4936-9E55-4F05906B0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2E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2E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2E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2E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2E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2E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2E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2E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2E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2E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2E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2E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2E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2E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2E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2E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2E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2EF0"/>
    <w:rPr>
      <w:rFonts w:eastAsiaTheme="majorEastAsia" w:cstheme="majorBidi"/>
      <w:color w:val="272727" w:themeColor="text1" w:themeTint="D8"/>
    </w:rPr>
  </w:style>
  <w:style w:type="paragraph" w:styleId="Title">
    <w:name w:val="Title"/>
    <w:basedOn w:val="Normal"/>
    <w:next w:val="Normal"/>
    <w:link w:val="TitleChar"/>
    <w:uiPriority w:val="10"/>
    <w:qFormat/>
    <w:rsid w:val="008C2E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2E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2E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2E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2EF0"/>
    <w:pPr>
      <w:spacing w:before="160"/>
      <w:jc w:val="center"/>
    </w:pPr>
    <w:rPr>
      <w:i/>
      <w:iCs/>
      <w:color w:val="404040" w:themeColor="text1" w:themeTint="BF"/>
    </w:rPr>
  </w:style>
  <w:style w:type="character" w:customStyle="1" w:styleId="QuoteChar">
    <w:name w:val="Quote Char"/>
    <w:basedOn w:val="DefaultParagraphFont"/>
    <w:link w:val="Quote"/>
    <w:uiPriority w:val="29"/>
    <w:rsid w:val="008C2EF0"/>
    <w:rPr>
      <w:i/>
      <w:iCs/>
      <w:color w:val="404040" w:themeColor="text1" w:themeTint="BF"/>
    </w:rPr>
  </w:style>
  <w:style w:type="paragraph" w:styleId="ListParagraph">
    <w:name w:val="List Paragraph"/>
    <w:basedOn w:val="Normal"/>
    <w:uiPriority w:val="34"/>
    <w:qFormat/>
    <w:rsid w:val="008C2EF0"/>
    <w:pPr>
      <w:ind w:left="720"/>
      <w:contextualSpacing/>
    </w:pPr>
  </w:style>
  <w:style w:type="character" w:styleId="IntenseEmphasis">
    <w:name w:val="Intense Emphasis"/>
    <w:basedOn w:val="DefaultParagraphFont"/>
    <w:uiPriority w:val="21"/>
    <w:qFormat/>
    <w:rsid w:val="008C2EF0"/>
    <w:rPr>
      <w:i/>
      <w:iCs/>
      <w:color w:val="0F4761" w:themeColor="accent1" w:themeShade="BF"/>
    </w:rPr>
  </w:style>
  <w:style w:type="paragraph" w:styleId="IntenseQuote">
    <w:name w:val="Intense Quote"/>
    <w:basedOn w:val="Normal"/>
    <w:next w:val="Normal"/>
    <w:link w:val="IntenseQuoteChar"/>
    <w:uiPriority w:val="30"/>
    <w:qFormat/>
    <w:rsid w:val="008C2E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2EF0"/>
    <w:rPr>
      <w:i/>
      <w:iCs/>
      <w:color w:val="0F4761" w:themeColor="accent1" w:themeShade="BF"/>
    </w:rPr>
  </w:style>
  <w:style w:type="character" w:styleId="IntenseReference">
    <w:name w:val="Intense Reference"/>
    <w:basedOn w:val="DefaultParagraphFont"/>
    <w:uiPriority w:val="32"/>
    <w:qFormat/>
    <w:rsid w:val="008C2EF0"/>
    <w:rPr>
      <w:b/>
      <w:bCs/>
      <w:smallCaps/>
      <w:color w:val="0F4761" w:themeColor="accent1" w:themeShade="BF"/>
      <w:spacing w:val="5"/>
    </w:rPr>
  </w:style>
  <w:style w:type="paragraph" w:styleId="Revision">
    <w:name w:val="Revision"/>
    <w:hidden/>
    <w:uiPriority w:val="99"/>
    <w:semiHidden/>
    <w:rsid w:val="00FE1CFE"/>
    <w:pPr>
      <w:spacing w:after="0" w:line="240" w:lineRule="auto"/>
    </w:pPr>
  </w:style>
  <w:style w:type="character" w:styleId="CommentReference">
    <w:name w:val="annotation reference"/>
    <w:basedOn w:val="DefaultParagraphFont"/>
    <w:uiPriority w:val="99"/>
    <w:semiHidden/>
    <w:unhideWhenUsed/>
    <w:rsid w:val="00882B53"/>
    <w:rPr>
      <w:sz w:val="16"/>
      <w:szCs w:val="16"/>
    </w:rPr>
  </w:style>
  <w:style w:type="paragraph" w:styleId="CommentText">
    <w:name w:val="annotation text"/>
    <w:basedOn w:val="Normal"/>
    <w:link w:val="CommentTextChar"/>
    <w:uiPriority w:val="99"/>
    <w:unhideWhenUsed/>
    <w:rsid w:val="00882B53"/>
    <w:pPr>
      <w:spacing w:line="240" w:lineRule="auto"/>
    </w:pPr>
    <w:rPr>
      <w:sz w:val="20"/>
      <w:szCs w:val="20"/>
    </w:rPr>
  </w:style>
  <w:style w:type="character" w:customStyle="1" w:styleId="CommentTextChar">
    <w:name w:val="Comment Text Char"/>
    <w:basedOn w:val="DefaultParagraphFont"/>
    <w:link w:val="CommentText"/>
    <w:uiPriority w:val="99"/>
    <w:rsid w:val="00882B53"/>
    <w:rPr>
      <w:sz w:val="20"/>
      <w:szCs w:val="20"/>
    </w:rPr>
  </w:style>
  <w:style w:type="paragraph" w:styleId="CommentSubject">
    <w:name w:val="annotation subject"/>
    <w:basedOn w:val="CommentText"/>
    <w:next w:val="CommentText"/>
    <w:link w:val="CommentSubjectChar"/>
    <w:uiPriority w:val="99"/>
    <w:semiHidden/>
    <w:unhideWhenUsed/>
    <w:rsid w:val="00882B53"/>
    <w:rPr>
      <w:b/>
      <w:bCs/>
    </w:rPr>
  </w:style>
  <w:style w:type="character" w:customStyle="1" w:styleId="CommentSubjectChar">
    <w:name w:val="Comment Subject Char"/>
    <w:basedOn w:val="CommentTextChar"/>
    <w:link w:val="CommentSubject"/>
    <w:uiPriority w:val="99"/>
    <w:semiHidden/>
    <w:rsid w:val="00882B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852</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Anne Willden</dc:creator>
  <cp:keywords/>
  <dc:description/>
  <cp:lastModifiedBy>Rebecca Sideman</cp:lastModifiedBy>
  <cp:revision>50</cp:revision>
  <dcterms:created xsi:type="dcterms:W3CDTF">2026-06-10T16:09:00Z</dcterms:created>
  <dcterms:modified xsi:type="dcterms:W3CDTF">2026-09-14T18:44:00Z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4cd59eb5-e688-4b0b-8da6-d19880fae8f8</vt:lpwstr>
  </property>
</Properties>
</file>