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33C66" w14:textId="77777777" w:rsidR="00166550" w:rsidRDefault="00C804D5">
      <w:r>
        <w:t>2026 NCCC-134 Annual Report</w:t>
      </w:r>
    </w:p>
    <w:tbl>
      <w:tblPr>
        <w:tblW w:w="5000" w:type="pct"/>
        <w:tblLayout w:type="fixed"/>
        <w:tblLook w:val="0000" w:firstRow="0" w:lastRow="0" w:firstColumn="0" w:lastColumn="0" w:noHBand="0" w:noVBand="0"/>
      </w:tblPr>
      <w:tblGrid>
        <w:gridCol w:w="4680"/>
        <w:gridCol w:w="4680"/>
      </w:tblGrid>
      <w:tr w:rsidR="00166550" w14:paraId="1CF33C69" w14:textId="77777777">
        <w:tc>
          <w:tcPr>
            <w:tcW w:w="3960" w:type="dxa"/>
          </w:tcPr>
          <w:p w14:paraId="1CF33C67" w14:textId="77777777" w:rsidR="00166550" w:rsidRDefault="00C804D5">
            <w:r>
              <w:rPr>
                <w:b/>
                <w:bCs/>
              </w:rPr>
              <w:t>Project/Activity Number:</w:t>
            </w:r>
          </w:p>
        </w:tc>
        <w:tc>
          <w:tcPr>
            <w:tcW w:w="3960" w:type="dxa"/>
          </w:tcPr>
          <w:p w14:paraId="1CF33C68" w14:textId="77777777" w:rsidR="00166550" w:rsidRDefault="00C804D5">
            <w:r>
              <w:t>NCCC-134</w:t>
            </w:r>
          </w:p>
        </w:tc>
      </w:tr>
      <w:tr w:rsidR="00166550" w14:paraId="1CF33C6C" w14:textId="77777777">
        <w:tc>
          <w:tcPr>
            <w:tcW w:w="3960" w:type="dxa"/>
          </w:tcPr>
          <w:p w14:paraId="1CF33C6A" w14:textId="77777777" w:rsidR="00166550" w:rsidRDefault="00C804D5">
            <w:r>
              <w:rPr>
                <w:b/>
                <w:bCs/>
              </w:rPr>
              <w:t>Project/Activity Title:</w:t>
            </w:r>
          </w:p>
        </w:tc>
        <w:tc>
          <w:tcPr>
            <w:tcW w:w="3960" w:type="dxa"/>
          </w:tcPr>
          <w:p w14:paraId="1CF33C6B" w14:textId="77777777" w:rsidR="00166550" w:rsidRDefault="00C804D5">
            <w:r>
              <w:t>Applied Commodity Price Analysis, Forecasting, and Market Risk Management</w:t>
            </w:r>
          </w:p>
        </w:tc>
      </w:tr>
      <w:tr w:rsidR="00166550" w14:paraId="1CF33C6F" w14:textId="77777777">
        <w:tc>
          <w:tcPr>
            <w:tcW w:w="3960" w:type="dxa"/>
          </w:tcPr>
          <w:p w14:paraId="1CF33C6D" w14:textId="77777777" w:rsidR="00166550" w:rsidRDefault="00C804D5">
            <w:r>
              <w:rPr>
                <w:b/>
                <w:bCs/>
              </w:rPr>
              <w:t>Period Covered:</w:t>
            </w:r>
          </w:p>
        </w:tc>
        <w:tc>
          <w:tcPr>
            <w:tcW w:w="3960" w:type="dxa"/>
          </w:tcPr>
          <w:p w14:paraId="1CF33C6E" w14:textId="77777777" w:rsidR="00166550" w:rsidRDefault="00C804D5">
            <w:r>
              <w:t>2025–2026</w:t>
            </w:r>
          </w:p>
        </w:tc>
      </w:tr>
      <w:tr w:rsidR="00166550" w14:paraId="1CF33C72" w14:textId="77777777">
        <w:tc>
          <w:tcPr>
            <w:tcW w:w="3960" w:type="dxa"/>
          </w:tcPr>
          <w:p w14:paraId="1CF33C70" w14:textId="77777777" w:rsidR="00166550" w:rsidRDefault="00C804D5">
            <w:r>
              <w:rPr>
                <w:b/>
                <w:bCs/>
              </w:rPr>
              <w:t>Annual Meeting Date(s):</w:t>
            </w:r>
          </w:p>
        </w:tc>
        <w:tc>
          <w:tcPr>
            <w:tcW w:w="3960" w:type="dxa"/>
          </w:tcPr>
          <w:p w14:paraId="1CF33C71" w14:textId="77777777" w:rsidR="00166550" w:rsidRDefault="00C804D5">
            <w:r>
              <w:t>April 20–21, 2026</w:t>
            </w:r>
          </w:p>
        </w:tc>
      </w:tr>
    </w:tbl>
    <w:p w14:paraId="3EAB488A" w14:textId="77777777" w:rsidR="00720CDB" w:rsidRDefault="00720CDB"/>
    <w:p w14:paraId="1CF33C73" w14:textId="0508D3A0" w:rsidR="00166550" w:rsidRDefault="00C804D5">
      <w:r>
        <w:t>The NCCC-134 Regional Research Committee sponsored its annual conference on Applied Commodity Price Analysis, Forecasting, and Market Risk Management on April 20-21 at the Illini Center in Chicago, IL. Twenty-six papers were presented by the authors and discussed among meeting participants. The conference meeting holds two concurrent sessions where research papers with similar methods, commodities, and/or issues are organized. The papers were selected by members of the NCCC-134 Executive Committee from 40 two-page prospectuses submitted prior to the conference. Since last year, the number of submissions increased from 38 to 40, which is slightly above our long-term average number of submissions. The resulting collection of papers ranged over futures and options market analysis, speculation, market information, effects and management of market risk, price forecasting evaluations, and several other price analysis topics. The format of the meeting allows for extensive discussion of the papers, results, and implications.</w:t>
      </w:r>
    </w:p>
    <w:p w14:paraId="1CF33C74" w14:textId="54E47B54" w:rsidR="00166550" w:rsidRDefault="00C804D5">
      <w:r>
        <w:t xml:space="preserve">Conference participants continue to emphasize that extensive discussions, constructive feedback and opportunities for collaboration among experts in this field are the most valuable features of this conference that draw participants from around the world. This year’s participants </w:t>
      </w:r>
      <w:r w:rsidR="00720CDB">
        <w:t>included</w:t>
      </w:r>
      <w:r>
        <w:t xml:space="preserve"> organizations and universities in the US, Canada, Colombia, and France. The meeting was held in person with 60 participants, up from 52 participants last year. The luncheon speaker on the second day was Hilary Till, Principal of Premia Research LLC and Managing Co-Editor of Commodity Insights Digest, who spoke on “Why Some Commodity Futures Markets Thrive and Others Die.”</w:t>
      </w:r>
    </w:p>
    <w:p w14:paraId="1CF33C75" w14:textId="77777777" w:rsidR="00166550" w:rsidRDefault="00C804D5">
      <w:r>
        <w:t>As in prior years, collaborative work was a notable feature of the meeting, with 7 out of 26 papers (about 27%) including or consisting of co-authors from different organizations/universities. This regional project is one of the main catalysts for these collaborative works. All participants attend this meeting to hear about state-of-the-art research conducted at other institutions that are in the area of expertise addressed by the project. As well, this meeting remains an important venue for graduate students to present their work. This year, 21 graduate students attended the conference, of whom 12 presented or co-authored papers.</w:t>
      </w:r>
    </w:p>
    <w:p w14:paraId="1CF33C76" w14:textId="77777777" w:rsidR="00166550" w:rsidRDefault="00C804D5">
      <w:r>
        <w:t xml:space="preserve">Following the research paper presentations on the first day of the meeting, a short business meeting of the NCCC-134 executive committee and other interested participants was held. NCCC-134 Committee Co-Chairs, Joe Janzen and Andres Trujillo-Barrera, led the meeting. Participants acknowledged that Chicago and the Illini Center provided a good place for the meeting, and it was agreed to continue in this location next year. The committee also discussed a proposal to identify graduate-student-authored prospectuses during the screening stage so that this status could be taken into account by evaluating </w:t>
      </w:r>
      <w:r>
        <w:lastRenderedPageBreak/>
        <w:t>committee members. After a brief discussion, members opted not to adopt the change, and the existing review procedure for two-page prospectuses will be retained.</w:t>
      </w:r>
    </w:p>
    <w:p w14:paraId="1CF33C77" w14:textId="77777777" w:rsidR="00166550" w:rsidRDefault="00C804D5">
      <w:r>
        <w:t>The committee agreed that commodity price analysis and risk management remain a vital research area amid continued uncertainty in agricultural and energy markets, and that NCCC-134 continues to be an important catalyst for research in these areas.</w:t>
      </w:r>
    </w:p>
    <w:p w14:paraId="1CF33C78" w14:textId="77777777" w:rsidR="00166550" w:rsidRDefault="00C804D5">
      <w:r>
        <w:t xml:space="preserve">Andres Trujillo-Barrera also announced the procedure for submitting final papers to be posted as electronic proceedings, and followed up with emails to submit the electronic documents. All papers from past meetings are available on the NCCC-134 paper archive at </w:t>
      </w:r>
      <w:hyperlink r:id="rId7">
        <w:r>
          <w:rPr>
            <w:rStyle w:val="Hyperlink"/>
          </w:rPr>
          <w:t>https://farmdoc.illinois.edu/nccc134</w:t>
        </w:r>
      </w:hyperlink>
      <w:r>
        <w:t>, and the NCCC-134 collection on AgEconSearch (</w:t>
      </w:r>
      <w:hyperlink r:id="rId8">
        <w:r>
          <w:rPr>
            <w:rStyle w:val="Hyperlink"/>
          </w:rPr>
          <w:t>https://ageconsearch.umn.edu/collection/1249?ln=en</w:t>
        </w:r>
      </w:hyperlink>
      <w:r>
        <w:t>) has also been brought up to date.</w:t>
      </w:r>
    </w:p>
    <w:p w14:paraId="1CF33C79" w14:textId="77777777" w:rsidR="00166550" w:rsidRDefault="00C804D5">
      <w:r>
        <w:t>The committee also acknowledges an upcoming transition in administrative leadership. Dr. Arne Hallam of Iowa State University, who has served as Administrative Advisor to NCCC-134, will be retiring in June 2026. The committee extends its sincere thanks to Arne for his guidance, support, and dedicated service to the project. Dr. Asheesh “Danny” Singh, Associate Dean and Associate AES Director at Iowa State University, will succeed Arne as Administrative Advisor, with a brief overlap to ensure a smooth transition. The committee welcomes Danny and looks forward to working with him.</w:t>
      </w:r>
    </w:p>
    <w:p w14:paraId="1CF33C7A" w14:textId="77777777" w:rsidR="00166550" w:rsidRDefault="00C804D5">
      <w:r>
        <w:t>Next year’s meeting is scheduled for April 19-20, 2027. Format will be similar to this year’s meeting with presented papers selected by a screening committee from a set of proposals due in October 2026. Andres Trujillo-Barrera from the University of Idaho and Joseph Janzen from the University of Illinois at Urbana-Champaign will continue to serve as committee coordinators for the period 2025-2029.</w:t>
      </w:r>
    </w:p>
    <w:p w14:paraId="1CF33C7B" w14:textId="77777777" w:rsidR="00166550" w:rsidRDefault="00C804D5">
      <w:r>
        <w:t>Meeting Adjourned: 2:45 p.m. April 21, 2026.</w:t>
      </w:r>
    </w:p>
    <w:p w14:paraId="1CF33C7C" w14:textId="77777777" w:rsidR="00166550" w:rsidRDefault="00C804D5">
      <w:r>
        <w:t>Respectfully submitted,</w:t>
      </w:r>
    </w:p>
    <w:p w14:paraId="1CF33C7D" w14:textId="77777777" w:rsidR="00166550" w:rsidRDefault="00C804D5">
      <w:r>
        <w:t>Joe Janzen, University of Illinois</w:t>
      </w:r>
    </w:p>
    <w:p w14:paraId="1CF33C7E" w14:textId="77777777" w:rsidR="00166550" w:rsidRDefault="00C804D5">
      <w:r>
        <w:t>Andres Trujillo-Barrera, University of Idaho</w:t>
      </w:r>
    </w:p>
    <w:p w14:paraId="1CF33C7F" w14:textId="77777777" w:rsidR="00166550" w:rsidRDefault="00C804D5">
      <w:r>
        <w:rPr>
          <w:i/>
          <w:iCs/>
        </w:rPr>
        <w:t>Co-Chairs, NCCC-134 Committee</w:t>
      </w:r>
    </w:p>
    <w:p w14:paraId="1CF33C80" w14:textId="77777777" w:rsidR="00166550" w:rsidRDefault="00C804D5">
      <w:r>
        <w:t>Arne Hallam, Iowa State University</w:t>
      </w:r>
    </w:p>
    <w:p w14:paraId="1CF33C81" w14:textId="77777777" w:rsidR="00166550" w:rsidRDefault="00C804D5">
      <w:r>
        <w:rPr>
          <w:i/>
          <w:iCs/>
        </w:rPr>
        <w:t>Administrative Advisor</w:t>
      </w:r>
    </w:p>
    <w:p w14:paraId="1CF33C82" w14:textId="77777777" w:rsidR="00166550" w:rsidRDefault="00C804D5">
      <w:r>
        <w:br w:type="page"/>
      </w:r>
    </w:p>
    <w:p w14:paraId="1CF33CBF" w14:textId="28C9F095" w:rsidR="00166550" w:rsidRDefault="00C804D5">
      <w:bookmarkStart w:id="0" w:name="X1814f6795a8a4da1b91f63e4983f9123cf4f786"/>
      <w:r>
        <w:lastRenderedPageBreak/>
        <w:t xml:space="preserve">Appendix </w:t>
      </w:r>
      <w:r w:rsidR="00AE52AF">
        <w:t>A</w:t>
      </w:r>
      <w:r>
        <w:t xml:space="preserve"> — Peer-Reviewed Publications (2025–2026) from NCCC-134 Conference Papers</w:t>
      </w:r>
    </w:p>
    <w:p w14:paraId="1CF33CC0" w14:textId="77777777" w:rsidR="00166550" w:rsidRDefault="00C804D5">
      <w:r>
        <w:t>Period covered: papers presented at NCCC-134 annual conferences 2022–2026 that have appeared in peer-reviewed journals in calendar year 2025 or 2026.</w:t>
      </w:r>
    </w:p>
    <w:p w14:paraId="1CF33CC1" w14:textId="77777777" w:rsidR="00166550" w:rsidRDefault="00C804D5">
      <w:pPr>
        <w:numPr>
          <w:ilvl w:val="0"/>
          <w:numId w:val="5"/>
        </w:numPr>
      </w:pPr>
      <w:r>
        <w:t xml:space="preserve">Adjemian, M. K., Petroff, C., &amp; Robe, M. A. (2026). The political economy of export bans and commodity price volatility: Theory and evidence from agricultural markets. </w:t>
      </w:r>
      <w:r>
        <w:rPr>
          <w:i/>
          <w:iCs/>
        </w:rPr>
        <w:t>Journal of International Money and Finance</w:t>
      </w:r>
      <w:r>
        <w:t xml:space="preserve">, 164, 103552. https://doi.org/10.1016/j.jimonfin.2026.103552 </w:t>
      </w:r>
      <w:r>
        <w:rPr>
          <w:i/>
          <w:iCs/>
        </w:rPr>
        <w:t>Presented at NCCC-134 2022.</w:t>
      </w:r>
    </w:p>
    <w:p w14:paraId="1CF33CC2" w14:textId="77777777" w:rsidR="00166550" w:rsidRDefault="00C804D5">
      <w:pPr>
        <w:numPr>
          <w:ilvl w:val="0"/>
          <w:numId w:val="5"/>
        </w:numPr>
      </w:pPr>
      <w:r>
        <w:t xml:space="preserve">Bloznelis, D. (2025). Salmon futures prices as forecasts. </w:t>
      </w:r>
      <w:r>
        <w:rPr>
          <w:i/>
          <w:iCs/>
        </w:rPr>
        <w:t>Aquaculture Economics &amp; Management</w:t>
      </w:r>
      <w:r>
        <w:t xml:space="preserve">, 29(4), 617–650. https://doi.org/10.1080/13657305.2025.2478909 </w:t>
      </w:r>
      <w:r>
        <w:rPr>
          <w:i/>
          <w:iCs/>
        </w:rPr>
        <w:t>Presented at NCCC-134 2025.</w:t>
      </w:r>
    </w:p>
    <w:p w14:paraId="1CF33CC3" w14:textId="77777777" w:rsidR="00166550" w:rsidRDefault="00C804D5">
      <w:pPr>
        <w:numPr>
          <w:ilvl w:val="0"/>
          <w:numId w:val="5"/>
        </w:numPr>
      </w:pPr>
      <w:r>
        <w:t xml:space="preserve">Bullock, D. W., Wilson, W. W., &amp; Wilson, I. (2025). Managing rail logistics risks faced by Upper Great Plains grain shippers: A case study using value-at-risk. </w:t>
      </w:r>
      <w:r>
        <w:rPr>
          <w:i/>
          <w:iCs/>
        </w:rPr>
        <w:t>Agribusiness</w:t>
      </w:r>
      <w:r>
        <w:t xml:space="preserve">, agr.70029. https://doi.org/10.1002/agr.70029 </w:t>
      </w:r>
      <w:r>
        <w:rPr>
          <w:i/>
          <w:iCs/>
        </w:rPr>
        <w:t>Presented at NCCC-134 2022.</w:t>
      </w:r>
    </w:p>
    <w:p w14:paraId="1CF33CC4" w14:textId="77777777" w:rsidR="00166550" w:rsidRDefault="00C804D5">
      <w:pPr>
        <w:numPr>
          <w:ilvl w:val="0"/>
          <w:numId w:val="5"/>
        </w:numPr>
      </w:pPr>
      <w:r>
        <w:t xml:space="preserve">Chalkiadakis, I., Peters, G. W., Bagnarosa, G., &amp; Gohin, A. (2025). Structural changes and statistical causal relationships in agricultural commodities markets: The impact of public news sentiment and institutional announcements. </w:t>
      </w:r>
      <w:r>
        <w:rPr>
          <w:i/>
          <w:iCs/>
        </w:rPr>
        <w:t>Quantitative Finance</w:t>
      </w:r>
      <w:r>
        <w:t xml:space="preserve">, 25(8), 1233–1259. https://doi.org/10.1080/14697688.2025.2528689 </w:t>
      </w:r>
      <w:r>
        <w:rPr>
          <w:i/>
          <w:iCs/>
        </w:rPr>
        <w:t>Presented at NCCC-134 2023.</w:t>
      </w:r>
    </w:p>
    <w:p w14:paraId="1CF33CC5" w14:textId="77777777" w:rsidR="00166550" w:rsidRDefault="00C804D5">
      <w:pPr>
        <w:numPr>
          <w:ilvl w:val="0"/>
          <w:numId w:val="5"/>
        </w:numPr>
      </w:pPr>
      <w:r>
        <w:t xml:space="preserve">Cornejo, M., Merovich, E., &amp; Merener, N. (2026). Hot dry spells and extreme rain increased corn and soybean prices in the United States Midwest. </w:t>
      </w:r>
      <w:r>
        <w:rPr>
          <w:i/>
          <w:iCs/>
        </w:rPr>
        <w:t>Communications Sustainability</w:t>
      </w:r>
      <w:r>
        <w:t xml:space="preserve">, 1(1), 17. https://doi.org/10.1038/s44458-025-00016-4 </w:t>
      </w:r>
      <w:r>
        <w:rPr>
          <w:i/>
          <w:iCs/>
        </w:rPr>
        <w:t>Presented at NCCC-134 2023, 2024, and 2025.</w:t>
      </w:r>
    </w:p>
    <w:p w14:paraId="1CF33CC6" w14:textId="77777777" w:rsidR="00166550" w:rsidRDefault="00C804D5">
      <w:pPr>
        <w:numPr>
          <w:ilvl w:val="0"/>
          <w:numId w:val="5"/>
        </w:numPr>
      </w:pPr>
      <w:r>
        <w:t xml:space="preserve">Diersen, M., &amp; Wang, Z. (2025). Weekly options on grain futures. </w:t>
      </w:r>
      <w:r>
        <w:rPr>
          <w:i/>
          <w:iCs/>
        </w:rPr>
        <w:t>Journal of Agricultural and Applied Economics</w:t>
      </w:r>
      <w:r>
        <w:t xml:space="preserve">, 57(1), 60–85. https://doi.org/10.1017/aae.2024.38 </w:t>
      </w:r>
      <w:r>
        <w:rPr>
          <w:i/>
          <w:iCs/>
        </w:rPr>
        <w:t>Presented at NCCC-134 2022.</w:t>
      </w:r>
    </w:p>
    <w:p w14:paraId="1CF33CC7" w14:textId="77777777" w:rsidR="00166550" w:rsidRDefault="00C804D5">
      <w:pPr>
        <w:numPr>
          <w:ilvl w:val="0"/>
          <w:numId w:val="5"/>
        </w:numPr>
      </w:pPr>
      <w:r>
        <w:t xml:space="preserve">Fernandes, V. M. O., Kunda, E. L., &amp; Robe, M. A. (2025). Commodity futures deliveries: Theory and evidence from the US corn market. </w:t>
      </w:r>
      <w:r>
        <w:rPr>
          <w:i/>
          <w:iCs/>
        </w:rPr>
        <w:t>Journal of Futures Markets</w:t>
      </w:r>
      <w:r>
        <w:t xml:space="preserve">, 45(7), 844–876. https://doi.org/10.1002/fut.22585 </w:t>
      </w:r>
      <w:r>
        <w:rPr>
          <w:i/>
          <w:iCs/>
        </w:rPr>
        <w:t>Presented at NCCC-134 2022.</w:t>
      </w:r>
    </w:p>
    <w:p w14:paraId="1CF33CC8" w14:textId="77777777" w:rsidR="00166550" w:rsidRDefault="00C804D5">
      <w:pPr>
        <w:numPr>
          <w:ilvl w:val="0"/>
          <w:numId w:val="5"/>
        </w:numPr>
      </w:pPr>
      <w:r>
        <w:t xml:space="preserve">Goswami, A., &amp; Karali, B. (2025). Effects of growing-season weather on the dynamic price relationships between biofuel feedstocks. </w:t>
      </w:r>
      <w:r>
        <w:rPr>
          <w:i/>
          <w:iCs/>
        </w:rPr>
        <w:t>Energy Economics</w:t>
      </w:r>
      <w:r>
        <w:t xml:space="preserve">, 148, 108581. https://doi.org/10.1016/j.eneco.2025.108581 </w:t>
      </w:r>
      <w:r>
        <w:rPr>
          <w:i/>
          <w:iCs/>
        </w:rPr>
        <w:t>Presented at NCCC-134 2024.</w:t>
      </w:r>
    </w:p>
    <w:p w14:paraId="1CF33CC9" w14:textId="77777777" w:rsidR="00166550" w:rsidRDefault="00C804D5">
      <w:pPr>
        <w:numPr>
          <w:ilvl w:val="0"/>
          <w:numId w:val="5"/>
        </w:numPr>
      </w:pPr>
      <w:r>
        <w:t xml:space="preserve">Goyal, R., Adjemian, M. K., &amp; Secor, W. (2025). Better supply elasticities improve commodity policy: The federal response to the Covid-19 pandemic. </w:t>
      </w:r>
      <w:r>
        <w:rPr>
          <w:i/>
          <w:iCs/>
        </w:rPr>
        <w:t>Food Policy</w:t>
      </w:r>
      <w:r>
        <w:t xml:space="preserve">, 135, 102937. https://doi.org/10.1016/j.foodpol.2025.102937 </w:t>
      </w:r>
      <w:r>
        <w:rPr>
          <w:i/>
          <w:iCs/>
        </w:rPr>
        <w:t>Presented at NCCC-134 2022.</w:t>
      </w:r>
    </w:p>
    <w:p w14:paraId="1CF33CCA" w14:textId="77777777" w:rsidR="00166550" w:rsidRDefault="00C804D5">
      <w:pPr>
        <w:numPr>
          <w:ilvl w:val="0"/>
          <w:numId w:val="5"/>
        </w:numPr>
      </w:pPr>
      <w:r>
        <w:t xml:space="preserve">Hu, Z., &amp; Mallory, M. (2025). Overseas impact of USDA reports: Evidence from Chinese soybean complex futures. </w:t>
      </w:r>
      <w:r>
        <w:rPr>
          <w:i/>
          <w:iCs/>
        </w:rPr>
        <w:t>Journal of Futures Markets</w:t>
      </w:r>
      <w:r>
        <w:t xml:space="preserve">, 45(11), 2109–2127. https://doi.org/10.1002/fut.70031 </w:t>
      </w:r>
      <w:r>
        <w:rPr>
          <w:i/>
          <w:iCs/>
        </w:rPr>
        <w:t>Presented at NCCC-134 2022.</w:t>
      </w:r>
    </w:p>
    <w:p w14:paraId="21CD22ED" w14:textId="6DCAB916" w:rsidR="00735480" w:rsidRDefault="00C804D5" w:rsidP="00513567">
      <w:pPr>
        <w:numPr>
          <w:ilvl w:val="0"/>
          <w:numId w:val="5"/>
        </w:numPr>
      </w:pPr>
      <w:r>
        <w:t xml:space="preserve">Hu, Z., Yan, L., Yuan, J., &amp; Etienne, X. (2025). Deconstructing fertilizer price spikes: Evidence from Chinese urea fertilizer market. </w:t>
      </w:r>
      <w:r>
        <w:rPr>
          <w:i/>
          <w:iCs/>
        </w:rPr>
        <w:t>Food Policy</w:t>
      </w:r>
      <w:r>
        <w:t xml:space="preserve">, 133, 102829. https://doi.org/10.1016/j.foodpol.2025.102829 </w:t>
      </w:r>
      <w:r>
        <w:rPr>
          <w:i/>
          <w:iCs/>
        </w:rPr>
        <w:t>Presented at NCCC-134 2023</w:t>
      </w:r>
      <w:r w:rsidR="00735480">
        <w:rPr>
          <w:i/>
          <w:iCs/>
        </w:rPr>
        <w:t>.</w:t>
      </w:r>
      <w:r>
        <w:rPr>
          <w:i/>
          <w:iCs/>
        </w:rPr>
        <w:t xml:space="preserve"> </w:t>
      </w:r>
      <w:r w:rsidR="00735480">
        <w:rPr>
          <w:i/>
          <w:iCs/>
        </w:rPr>
        <w:t xml:space="preserve"> </w:t>
      </w:r>
    </w:p>
    <w:p w14:paraId="1CF33CCC" w14:textId="2F4C6BB7" w:rsidR="00166550" w:rsidRDefault="00C804D5">
      <w:pPr>
        <w:numPr>
          <w:ilvl w:val="0"/>
          <w:numId w:val="5"/>
        </w:numPr>
      </w:pPr>
      <w:r>
        <w:lastRenderedPageBreak/>
        <w:t xml:space="preserve">Kalli, S., Karali, B., Liu, Y., &amp; Gopinath, M. (2025). Return and volatility spillovers among major cotton markets. </w:t>
      </w:r>
      <w:r>
        <w:rPr>
          <w:i/>
          <w:iCs/>
        </w:rPr>
        <w:t>Agribusiness</w:t>
      </w:r>
      <w:r>
        <w:t xml:space="preserve">, agr.70008. https://doi.org/10.1002/agr.70008 </w:t>
      </w:r>
      <w:r>
        <w:rPr>
          <w:i/>
          <w:iCs/>
        </w:rPr>
        <w:t>Presented at NCCC-134 2023.</w:t>
      </w:r>
    </w:p>
    <w:p w14:paraId="1CF33CCD" w14:textId="77777777" w:rsidR="00166550" w:rsidRDefault="00C804D5">
      <w:pPr>
        <w:numPr>
          <w:ilvl w:val="0"/>
          <w:numId w:val="5"/>
        </w:numPr>
      </w:pPr>
      <w:r>
        <w:t xml:space="preserve">Kang, M., &amp; Lee, S. (2026). Food inflation pass-through from agricultural imports in a small open economy. </w:t>
      </w:r>
      <w:r>
        <w:rPr>
          <w:i/>
          <w:iCs/>
        </w:rPr>
        <w:t>American Journal of Agricultural Economics</w:t>
      </w:r>
      <w:r>
        <w:t xml:space="preserve">, ajae.70063. https://doi.org/10.1002/ajae.70063 </w:t>
      </w:r>
      <w:r>
        <w:rPr>
          <w:i/>
          <w:iCs/>
        </w:rPr>
        <w:t>Presented at NCCC-134 2024.</w:t>
      </w:r>
    </w:p>
    <w:p w14:paraId="1CF33CCE" w14:textId="77777777" w:rsidR="00166550" w:rsidRDefault="00C804D5">
      <w:pPr>
        <w:numPr>
          <w:ilvl w:val="0"/>
          <w:numId w:val="5"/>
        </w:numPr>
      </w:pPr>
      <w:r>
        <w:t xml:space="preserve">Karali, B., Isengildina-Massa, O., &amp; Irwin, S. H. (2025). Is being bold better? Industry expectations of USDA corn and soybean production estimates. </w:t>
      </w:r>
      <w:r>
        <w:rPr>
          <w:i/>
          <w:iCs/>
        </w:rPr>
        <w:t>Agricultural Economics</w:t>
      </w:r>
      <w:r>
        <w:t xml:space="preserve">, 56(5), 802–822. https://doi.org/10.1111/agec.70032 </w:t>
      </w:r>
      <w:r>
        <w:rPr>
          <w:i/>
          <w:iCs/>
        </w:rPr>
        <w:t>Presented at NCCC-134 2025 and 2026.</w:t>
      </w:r>
    </w:p>
    <w:p w14:paraId="1CF33CCF" w14:textId="0C3CF8F1" w:rsidR="00166550" w:rsidRPr="008C732A" w:rsidRDefault="00C804D5">
      <w:pPr>
        <w:numPr>
          <w:ilvl w:val="0"/>
          <w:numId w:val="5"/>
        </w:numPr>
      </w:pPr>
      <w:r>
        <w:t xml:space="preserve">Ma, R. R., &amp; Serra, T. (2025). Is liquidity provision informative? Evidence from agricultural futures markets. </w:t>
      </w:r>
      <w:r>
        <w:rPr>
          <w:i/>
          <w:iCs/>
        </w:rPr>
        <w:t>American Journal of Agricultural Economics</w:t>
      </w:r>
      <w:r>
        <w:t xml:space="preserve">, 107(1), 125–151. </w:t>
      </w:r>
      <w:hyperlink r:id="rId9" w:history="1">
        <w:r w:rsidR="008C732A" w:rsidRPr="00426646">
          <w:rPr>
            <w:rStyle w:val="Hyperlink"/>
          </w:rPr>
          <w:t xml:space="preserve">https://doi.org/10.1111/ajae.12479 </w:t>
        </w:r>
        <w:r w:rsidR="008C732A" w:rsidRPr="00426646">
          <w:rPr>
            <w:rStyle w:val="Hyperlink"/>
            <w:i/>
            <w:iCs/>
          </w:rPr>
          <w:t>Presented at NCCC-134 2023</w:t>
        </w:r>
      </w:hyperlink>
      <w:r>
        <w:rPr>
          <w:i/>
          <w:iCs/>
        </w:rPr>
        <w:t>.</w:t>
      </w:r>
    </w:p>
    <w:p w14:paraId="4FC29B5A" w14:textId="0FD2483A" w:rsidR="00145B23" w:rsidRDefault="008C732A" w:rsidP="00513567">
      <w:pPr>
        <w:numPr>
          <w:ilvl w:val="0"/>
          <w:numId w:val="5"/>
        </w:numPr>
      </w:pPr>
      <w:r w:rsidRPr="008C732A">
        <w:t>McWilliams, W., Stewart, S. L., &amp; Massa, O. I. (2026). Food price inflation forecasting: Insights from a Macroeconomic Auto-Regressive Random Forest approach. </w:t>
      </w:r>
      <w:r w:rsidRPr="008C732A">
        <w:rPr>
          <w:i/>
          <w:iCs/>
        </w:rPr>
        <w:t>Food Policy</w:t>
      </w:r>
      <w:r w:rsidRPr="008C732A">
        <w:t>, </w:t>
      </w:r>
      <w:r w:rsidRPr="008C732A">
        <w:rPr>
          <w:i/>
          <w:iCs/>
        </w:rPr>
        <w:t>142</w:t>
      </w:r>
      <w:r w:rsidRPr="008C732A">
        <w:t>, 103115.</w:t>
      </w:r>
      <w:r w:rsidR="003B7B6D">
        <w:t xml:space="preserve"> Presented as “</w:t>
      </w:r>
      <w:r w:rsidR="003B7B6D" w:rsidRPr="003B7B6D">
        <w:t>Annual Food Price Inflation Forecasting: An AutoRegressive Random Forest Approach</w:t>
      </w:r>
      <w:r w:rsidR="003B7B6D">
        <w:t xml:space="preserve">” at NCCC-134 </w:t>
      </w:r>
      <w:r w:rsidR="00513567">
        <w:t>2025.</w:t>
      </w:r>
    </w:p>
    <w:p w14:paraId="1CF33CD0" w14:textId="77777777" w:rsidR="00166550" w:rsidRDefault="00C804D5">
      <w:pPr>
        <w:numPr>
          <w:ilvl w:val="0"/>
          <w:numId w:val="5"/>
        </w:numPr>
      </w:pPr>
      <w:r>
        <w:t xml:space="preserve">Prager, D. L., Burns, C. B., &amp; Williams, R. (2025). Why don’t farmers use futures and options for hedging? An examination of historical basis risk and cash constraints. </w:t>
      </w:r>
      <w:r>
        <w:rPr>
          <w:i/>
          <w:iCs/>
        </w:rPr>
        <w:t>Journal of Futures Markets</w:t>
      </w:r>
      <w:r>
        <w:t xml:space="preserve">, 45(9), 1324–1342. https://doi.org/10.1002/fut.22610 </w:t>
      </w:r>
      <w:r>
        <w:rPr>
          <w:i/>
          <w:iCs/>
        </w:rPr>
        <w:t>Presented at NCCC-134 2022.</w:t>
      </w:r>
    </w:p>
    <w:p w14:paraId="1CF33CD1" w14:textId="01F31442" w:rsidR="00166550" w:rsidRPr="00AE52AF" w:rsidRDefault="00C804D5">
      <w:pPr>
        <w:numPr>
          <w:ilvl w:val="0"/>
          <w:numId w:val="5"/>
        </w:numPr>
      </w:pPr>
      <w:r>
        <w:t xml:space="preserve">Yang, Y., &amp; McKenzie, A. (2025). Do corn options update volatility expectations in the wake of USDA reports? </w:t>
      </w:r>
      <w:r>
        <w:rPr>
          <w:i/>
          <w:iCs/>
        </w:rPr>
        <w:t>Journal of Futures Markets</w:t>
      </w:r>
      <w:r>
        <w:t xml:space="preserve">, 45(10), 1852–1868. </w:t>
      </w:r>
      <w:hyperlink r:id="rId10" w:history="1">
        <w:r w:rsidR="00AE52AF" w:rsidRPr="000731E0">
          <w:rPr>
            <w:rStyle w:val="Hyperlink"/>
          </w:rPr>
          <w:t xml:space="preserve">https://doi.org/10.1002/fut.70020 </w:t>
        </w:r>
        <w:r w:rsidR="00AE52AF" w:rsidRPr="000731E0">
          <w:rPr>
            <w:rStyle w:val="Hyperlink"/>
            <w:i/>
            <w:iCs/>
          </w:rPr>
          <w:t>Presented at NCCC-134 2024</w:t>
        </w:r>
      </w:hyperlink>
      <w:r>
        <w:rPr>
          <w:i/>
          <w:iCs/>
        </w:rPr>
        <w:t>.</w:t>
      </w:r>
    </w:p>
    <w:p w14:paraId="5790BC60" w14:textId="77777777" w:rsidR="00AE52AF" w:rsidRDefault="00AE52AF" w:rsidP="00AE52AF">
      <w:pPr>
        <w:rPr>
          <w:i/>
          <w:iCs/>
        </w:rPr>
      </w:pPr>
    </w:p>
    <w:p w14:paraId="79CA0A61" w14:textId="77777777" w:rsidR="00AE52AF" w:rsidRDefault="00AE52AF" w:rsidP="00AE52AF">
      <w:pPr>
        <w:rPr>
          <w:i/>
          <w:iCs/>
        </w:rPr>
      </w:pPr>
    </w:p>
    <w:p w14:paraId="45ADAED8" w14:textId="77777777" w:rsidR="00AE52AF" w:rsidRDefault="00AE52AF" w:rsidP="00AE52AF">
      <w:pPr>
        <w:rPr>
          <w:i/>
          <w:iCs/>
        </w:rPr>
      </w:pPr>
    </w:p>
    <w:p w14:paraId="59004269" w14:textId="77777777" w:rsidR="00AE52AF" w:rsidRDefault="00AE52AF" w:rsidP="00AE52AF">
      <w:pPr>
        <w:rPr>
          <w:i/>
          <w:iCs/>
        </w:rPr>
      </w:pPr>
    </w:p>
    <w:p w14:paraId="6C9F5E10" w14:textId="77777777" w:rsidR="00AE52AF" w:rsidRDefault="00AE52AF" w:rsidP="00AE52AF">
      <w:pPr>
        <w:rPr>
          <w:i/>
          <w:iCs/>
        </w:rPr>
      </w:pPr>
    </w:p>
    <w:p w14:paraId="0A0813CA" w14:textId="77777777" w:rsidR="00AE52AF" w:rsidRDefault="00AE52AF" w:rsidP="00AE52AF">
      <w:pPr>
        <w:rPr>
          <w:i/>
          <w:iCs/>
        </w:rPr>
      </w:pPr>
    </w:p>
    <w:p w14:paraId="317A9F32" w14:textId="77777777" w:rsidR="00AE52AF" w:rsidRDefault="00AE52AF" w:rsidP="00AE52AF">
      <w:pPr>
        <w:rPr>
          <w:i/>
          <w:iCs/>
        </w:rPr>
      </w:pPr>
    </w:p>
    <w:p w14:paraId="5484F441" w14:textId="77777777" w:rsidR="00AE52AF" w:rsidRDefault="00AE52AF" w:rsidP="00AE52AF">
      <w:pPr>
        <w:rPr>
          <w:i/>
          <w:iCs/>
        </w:rPr>
      </w:pPr>
    </w:p>
    <w:p w14:paraId="19BED433" w14:textId="77777777" w:rsidR="00AE52AF" w:rsidRDefault="00AE52AF" w:rsidP="00AE52AF">
      <w:pPr>
        <w:rPr>
          <w:i/>
          <w:iCs/>
        </w:rPr>
      </w:pPr>
    </w:p>
    <w:p w14:paraId="2A68054B" w14:textId="77777777" w:rsidR="00AE52AF" w:rsidRDefault="00AE52AF" w:rsidP="00AE52AF">
      <w:pPr>
        <w:rPr>
          <w:i/>
          <w:iCs/>
        </w:rPr>
      </w:pPr>
    </w:p>
    <w:p w14:paraId="6851CC6B" w14:textId="77777777" w:rsidR="00AE52AF" w:rsidRDefault="00AE52AF" w:rsidP="00AE52AF">
      <w:pPr>
        <w:rPr>
          <w:i/>
          <w:iCs/>
        </w:rPr>
      </w:pPr>
    </w:p>
    <w:p w14:paraId="1E055E83" w14:textId="77777777" w:rsidR="00AE52AF" w:rsidRDefault="00AE52AF" w:rsidP="00AE52AF">
      <w:pPr>
        <w:rPr>
          <w:i/>
          <w:iCs/>
        </w:rPr>
      </w:pPr>
    </w:p>
    <w:p w14:paraId="7EEFDA25" w14:textId="06BB227E" w:rsidR="00AE52AF" w:rsidRDefault="00AE52AF" w:rsidP="00AE52AF">
      <w:r>
        <w:lastRenderedPageBreak/>
        <w:t>Appendix B — Participants</w:t>
      </w:r>
    </w:p>
    <w:p w14:paraId="5290B3E7" w14:textId="77777777" w:rsidR="00AE52AF" w:rsidRDefault="00AE52AF" w:rsidP="00AE52AF">
      <w:r>
        <w:t>The 2026 NCCC-134 conference was held in person at the Illini Center, Chicago, IL, on April 20–21, 2026, with 60 participants registered.</w:t>
      </w:r>
    </w:p>
    <w:p w14:paraId="14528581" w14:textId="77777777" w:rsidR="00AE52AF" w:rsidRDefault="00AE52AF" w:rsidP="00AE52AF">
      <w:pPr>
        <w:numPr>
          <w:ilvl w:val="0"/>
          <w:numId w:val="4"/>
        </w:numPr>
        <w:spacing w:after="0" w:line="240" w:lineRule="auto"/>
      </w:pPr>
      <w:r>
        <w:t>Michael Adjemian — University of Georgia</w:t>
      </w:r>
    </w:p>
    <w:p w14:paraId="3CD85E82" w14:textId="77777777" w:rsidR="00AE52AF" w:rsidRDefault="00AE52AF" w:rsidP="00AE52AF">
      <w:pPr>
        <w:numPr>
          <w:ilvl w:val="0"/>
          <w:numId w:val="4"/>
        </w:numPr>
        <w:spacing w:after="0" w:line="240" w:lineRule="auto"/>
      </w:pPr>
      <w:r>
        <w:t>Andrew Anderson — Utah State University</w:t>
      </w:r>
    </w:p>
    <w:p w14:paraId="53AE875A" w14:textId="77777777" w:rsidR="00AE52AF" w:rsidRDefault="00AE52AF" w:rsidP="00AE52AF">
      <w:pPr>
        <w:numPr>
          <w:ilvl w:val="0"/>
          <w:numId w:val="4"/>
        </w:numPr>
        <w:spacing w:after="0" w:line="240" w:lineRule="auto"/>
      </w:pPr>
      <w:r>
        <w:t>Tanveer Anzum — University of Illinois Urbana-Champaign</w:t>
      </w:r>
    </w:p>
    <w:p w14:paraId="698B77A3" w14:textId="77777777" w:rsidR="00AE52AF" w:rsidRDefault="00AE52AF" w:rsidP="00AE52AF">
      <w:pPr>
        <w:numPr>
          <w:ilvl w:val="0"/>
          <w:numId w:val="4"/>
        </w:numPr>
        <w:spacing w:after="0" w:line="240" w:lineRule="auto"/>
      </w:pPr>
      <w:r>
        <w:t>Felipe Avileis — University of Nebraska-Lincoln</w:t>
      </w:r>
    </w:p>
    <w:p w14:paraId="2679904B" w14:textId="77777777" w:rsidR="00AE52AF" w:rsidRDefault="00AE52AF" w:rsidP="00AE52AF">
      <w:pPr>
        <w:numPr>
          <w:ilvl w:val="0"/>
          <w:numId w:val="4"/>
        </w:numPr>
        <w:spacing w:after="0" w:line="240" w:lineRule="auto"/>
      </w:pPr>
      <w:r>
        <w:t>Guillaume Bagnarosa — Rennes School of Business</w:t>
      </w:r>
    </w:p>
    <w:p w14:paraId="20A14C30" w14:textId="77777777" w:rsidR="00AE52AF" w:rsidRDefault="00AE52AF" w:rsidP="00AE52AF">
      <w:pPr>
        <w:numPr>
          <w:ilvl w:val="0"/>
          <w:numId w:val="4"/>
        </w:numPr>
        <w:spacing w:after="0" w:line="240" w:lineRule="auto"/>
      </w:pPr>
      <w:r>
        <w:t>Austin Belman — University of Illinois Urbana-Champaign</w:t>
      </w:r>
    </w:p>
    <w:p w14:paraId="66F49717" w14:textId="77777777" w:rsidR="00AE52AF" w:rsidRDefault="00AE52AF" w:rsidP="00AE52AF">
      <w:pPr>
        <w:numPr>
          <w:ilvl w:val="0"/>
          <w:numId w:val="4"/>
        </w:numPr>
        <w:spacing w:after="0" w:line="240" w:lineRule="auto"/>
      </w:pPr>
      <w:r>
        <w:t>Tim Bodin — University of Minnesota - Twin Cities</w:t>
      </w:r>
    </w:p>
    <w:p w14:paraId="50553C66" w14:textId="77777777" w:rsidR="00AE52AF" w:rsidRDefault="00AE52AF" w:rsidP="00AE52AF">
      <w:pPr>
        <w:numPr>
          <w:ilvl w:val="0"/>
          <w:numId w:val="4"/>
        </w:numPr>
        <w:spacing w:after="0" w:line="240" w:lineRule="auto"/>
      </w:pPr>
      <w:r>
        <w:t>Ana María Iregui Bohórquez — Banco de la República de Colombia</w:t>
      </w:r>
    </w:p>
    <w:p w14:paraId="70FAF63C" w14:textId="77777777" w:rsidR="00AE52AF" w:rsidRDefault="00AE52AF" w:rsidP="00AE52AF">
      <w:pPr>
        <w:numPr>
          <w:ilvl w:val="0"/>
          <w:numId w:val="4"/>
        </w:numPr>
        <w:spacing w:after="0" w:line="240" w:lineRule="auto"/>
      </w:pPr>
      <w:r>
        <w:t>Wade Brorsen — Oklahoma State University</w:t>
      </w:r>
    </w:p>
    <w:p w14:paraId="66C54C30" w14:textId="77777777" w:rsidR="00AE52AF" w:rsidRDefault="00AE52AF" w:rsidP="00AE52AF">
      <w:pPr>
        <w:numPr>
          <w:ilvl w:val="0"/>
          <w:numId w:val="4"/>
        </w:numPr>
        <w:spacing w:after="0" w:line="240" w:lineRule="auto"/>
      </w:pPr>
      <w:r>
        <w:t>David Bullock — North Dakota State University</w:t>
      </w:r>
    </w:p>
    <w:p w14:paraId="3A08B8F6" w14:textId="77777777" w:rsidR="00AE52AF" w:rsidRDefault="00AE52AF" w:rsidP="00AE52AF">
      <w:pPr>
        <w:numPr>
          <w:ilvl w:val="0"/>
          <w:numId w:val="4"/>
        </w:numPr>
        <w:spacing w:after="0" w:line="240" w:lineRule="auto"/>
      </w:pPr>
      <w:r>
        <w:t>Alexander Costello — The Hershey Company</w:t>
      </w:r>
    </w:p>
    <w:p w14:paraId="7BAC81F1" w14:textId="77777777" w:rsidR="00AE52AF" w:rsidRDefault="00AE52AF" w:rsidP="00AE52AF">
      <w:pPr>
        <w:numPr>
          <w:ilvl w:val="0"/>
          <w:numId w:val="4"/>
        </w:numPr>
        <w:spacing w:after="0" w:line="240" w:lineRule="auto"/>
      </w:pPr>
      <w:r>
        <w:t>Aayush Dhakal — University of Illinois Urbana-Champaign</w:t>
      </w:r>
    </w:p>
    <w:p w14:paraId="2401ECD2" w14:textId="77777777" w:rsidR="00AE52AF" w:rsidRDefault="00AE52AF" w:rsidP="00AE52AF">
      <w:pPr>
        <w:numPr>
          <w:ilvl w:val="0"/>
          <w:numId w:val="4"/>
        </w:numPr>
        <w:spacing w:after="0" w:line="240" w:lineRule="auto"/>
      </w:pPr>
      <w:r>
        <w:t>Matthew Diersen — South Dakota State University</w:t>
      </w:r>
    </w:p>
    <w:p w14:paraId="78E6E7E9" w14:textId="77777777" w:rsidR="00AE52AF" w:rsidRDefault="00AE52AF" w:rsidP="00AE52AF">
      <w:pPr>
        <w:numPr>
          <w:ilvl w:val="0"/>
          <w:numId w:val="4"/>
        </w:numPr>
        <w:spacing w:after="0" w:line="240" w:lineRule="auto"/>
      </w:pPr>
      <w:r>
        <w:t>Jeffrey Dorfman — North Carolina State University</w:t>
      </w:r>
    </w:p>
    <w:p w14:paraId="4D5BDB9E" w14:textId="77777777" w:rsidR="00AE52AF" w:rsidRDefault="00AE52AF" w:rsidP="00AE52AF">
      <w:pPr>
        <w:numPr>
          <w:ilvl w:val="0"/>
          <w:numId w:val="4"/>
        </w:numPr>
        <w:spacing w:after="0" w:line="240" w:lineRule="auto"/>
      </w:pPr>
      <w:r>
        <w:t>Xiaoyi Fang — University of Arkansas</w:t>
      </w:r>
    </w:p>
    <w:p w14:paraId="58050D8B" w14:textId="77777777" w:rsidR="00AE52AF" w:rsidRDefault="00AE52AF" w:rsidP="00AE52AF">
      <w:pPr>
        <w:numPr>
          <w:ilvl w:val="0"/>
          <w:numId w:val="4"/>
        </w:numPr>
        <w:spacing w:after="0" w:line="240" w:lineRule="auto"/>
      </w:pPr>
      <w:r>
        <w:t>Peyton Ferrier — USDA/WAOB</w:t>
      </w:r>
    </w:p>
    <w:p w14:paraId="54E582D5" w14:textId="77777777" w:rsidR="00AE52AF" w:rsidRDefault="00AE52AF" w:rsidP="00AE52AF">
      <w:pPr>
        <w:numPr>
          <w:ilvl w:val="0"/>
          <w:numId w:val="4"/>
        </w:numPr>
        <w:spacing w:after="0" w:line="240" w:lineRule="auto"/>
      </w:pPr>
      <w:r>
        <w:t>Alexis Vivas Flores — University of Illinois Urbana-Champaign</w:t>
      </w:r>
    </w:p>
    <w:p w14:paraId="03D91075" w14:textId="77777777" w:rsidR="00AE52AF" w:rsidRDefault="00AE52AF" w:rsidP="00AE52AF">
      <w:pPr>
        <w:numPr>
          <w:ilvl w:val="0"/>
          <w:numId w:val="4"/>
        </w:numPr>
        <w:spacing w:after="0" w:line="240" w:lineRule="auto"/>
      </w:pPr>
      <w:r>
        <w:t>Julieta Frank — University of Manitoba</w:t>
      </w:r>
    </w:p>
    <w:p w14:paraId="3958FB45" w14:textId="77777777" w:rsidR="00AE52AF" w:rsidRDefault="00AE52AF" w:rsidP="00AE52AF">
      <w:pPr>
        <w:numPr>
          <w:ilvl w:val="0"/>
          <w:numId w:val="4"/>
        </w:numPr>
        <w:spacing w:after="0" w:line="240" w:lineRule="auto"/>
      </w:pPr>
      <w:r>
        <w:t>Esteban Vizcarrondo Garrastegui — University of Illinois Urbana-Champaign</w:t>
      </w:r>
    </w:p>
    <w:p w14:paraId="25AC6AB2" w14:textId="77777777" w:rsidR="00AE52AF" w:rsidRDefault="00AE52AF" w:rsidP="00AE52AF">
      <w:pPr>
        <w:numPr>
          <w:ilvl w:val="0"/>
          <w:numId w:val="4"/>
        </w:numPr>
        <w:spacing w:after="0" w:line="240" w:lineRule="auto"/>
      </w:pPr>
      <w:r>
        <w:t>Raghav Goyal — Louisiana State University</w:t>
      </w:r>
    </w:p>
    <w:p w14:paraId="62860654" w14:textId="77777777" w:rsidR="00AE52AF" w:rsidRDefault="00AE52AF" w:rsidP="00AE52AF">
      <w:pPr>
        <w:numPr>
          <w:ilvl w:val="0"/>
          <w:numId w:val="4"/>
        </w:numPr>
        <w:spacing w:after="0" w:line="240" w:lineRule="auto"/>
      </w:pPr>
      <w:r>
        <w:t>Andrew Grimaldi — Farm Credit System Insurance Corporation</w:t>
      </w:r>
    </w:p>
    <w:p w14:paraId="4AADB249" w14:textId="77777777" w:rsidR="00AE52AF" w:rsidRDefault="00AE52AF" w:rsidP="00AE52AF">
      <w:pPr>
        <w:numPr>
          <w:ilvl w:val="0"/>
          <w:numId w:val="4"/>
        </w:numPr>
        <w:spacing w:after="0" w:line="240" w:lineRule="auto"/>
      </w:pPr>
      <w:r>
        <w:t>Todd Hubbs — Oklahoma State University</w:t>
      </w:r>
    </w:p>
    <w:p w14:paraId="049D7855" w14:textId="77777777" w:rsidR="00AE52AF" w:rsidRDefault="00AE52AF" w:rsidP="00AE52AF">
      <w:pPr>
        <w:numPr>
          <w:ilvl w:val="0"/>
          <w:numId w:val="4"/>
        </w:numPr>
        <w:spacing w:after="0" w:line="240" w:lineRule="auto"/>
      </w:pPr>
      <w:r>
        <w:t>Scott Irwin — University of Illinois Urbana-Champaign</w:t>
      </w:r>
    </w:p>
    <w:p w14:paraId="281E183E" w14:textId="77777777" w:rsidR="00AE52AF" w:rsidRDefault="00AE52AF" w:rsidP="00AE52AF">
      <w:pPr>
        <w:numPr>
          <w:ilvl w:val="0"/>
          <w:numId w:val="4"/>
        </w:numPr>
        <w:spacing w:after="0" w:line="240" w:lineRule="auto"/>
      </w:pPr>
      <w:r>
        <w:t>Joseph Janzen — University of Illinois Urbana-Champaign</w:t>
      </w:r>
    </w:p>
    <w:p w14:paraId="2594C151" w14:textId="77777777" w:rsidR="00AE52AF" w:rsidRDefault="00AE52AF" w:rsidP="00AE52AF">
      <w:pPr>
        <w:numPr>
          <w:ilvl w:val="0"/>
          <w:numId w:val="4"/>
        </w:numPr>
        <w:spacing w:after="0" w:line="240" w:lineRule="auto"/>
      </w:pPr>
      <w:r>
        <w:t>Jungkeon Jo — University of Idaho</w:t>
      </w:r>
    </w:p>
    <w:p w14:paraId="56C8FC24" w14:textId="77777777" w:rsidR="00AE52AF" w:rsidRDefault="00AE52AF" w:rsidP="00AE52AF">
      <w:pPr>
        <w:numPr>
          <w:ilvl w:val="0"/>
          <w:numId w:val="4"/>
        </w:numPr>
        <w:spacing w:after="0" w:line="240" w:lineRule="auto"/>
      </w:pPr>
      <w:r>
        <w:t>Minseong Kang — The Ohio State University</w:t>
      </w:r>
    </w:p>
    <w:p w14:paraId="777DE85C" w14:textId="77777777" w:rsidR="00AE52AF" w:rsidRDefault="00AE52AF" w:rsidP="00AE52AF">
      <w:pPr>
        <w:numPr>
          <w:ilvl w:val="0"/>
          <w:numId w:val="4"/>
        </w:numPr>
        <w:spacing w:after="0" w:line="240" w:lineRule="auto"/>
      </w:pPr>
      <w:r>
        <w:t>Berna Karali — University of Georgia</w:t>
      </w:r>
    </w:p>
    <w:p w14:paraId="34481838" w14:textId="77777777" w:rsidR="00AE52AF" w:rsidRDefault="00AE52AF" w:rsidP="00AE52AF">
      <w:pPr>
        <w:numPr>
          <w:ilvl w:val="0"/>
          <w:numId w:val="4"/>
        </w:numPr>
        <w:spacing w:after="0" w:line="240" w:lineRule="auto"/>
      </w:pPr>
      <w:r>
        <w:t>Willis Kidd — Independent</w:t>
      </w:r>
    </w:p>
    <w:p w14:paraId="4CD5ED7E" w14:textId="77777777" w:rsidR="00AE52AF" w:rsidRDefault="00AE52AF" w:rsidP="00AE52AF">
      <w:pPr>
        <w:numPr>
          <w:ilvl w:val="0"/>
          <w:numId w:val="4"/>
        </w:numPr>
        <w:spacing w:after="0" w:line="240" w:lineRule="auto"/>
      </w:pPr>
      <w:r>
        <w:t>Jaeyeob Kim — University of Georgia</w:t>
      </w:r>
    </w:p>
    <w:p w14:paraId="4604C9BF" w14:textId="77777777" w:rsidR="00AE52AF" w:rsidRDefault="00AE52AF" w:rsidP="00AE52AF">
      <w:pPr>
        <w:numPr>
          <w:ilvl w:val="0"/>
          <w:numId w:val="4"/>
        </w:numPr>
        <w:spacing w:after="0" w:line="240" w:lineRule="auto"/>
      </w:pPr>
      <w:r>
        <w:t>Stephen Koontz — Colorado State University</w:t>
      </w:r>
    </w:p>
    <w:p w14:paraId="40BC8F76" w14:textId="77777777" w:rsidR="00AE52AF" w:rsidRDefault="00AE52AF" w:rsidP="00AE52AF">
      <w:pPr>
        <w:numPr>
          <w:ilvl w:val="0"/>
          <w:numId w:val="4"/>
        </w:numPr>
        <w:spacing w:after="0" w:line="240" w:lineRule="auto"/>
      </w:pPr>
      <w:r>
        <w:t>Eugene Kunda — Commodity Futures Trading Commission</w:t>
      </w:r>
    </w:p>
    <w:p w14:paraId="1CD86B00" w14:textId="77777777" w:rsidR="00AE52AF" w:rsidRDefault="00AE52AF" w:rsidP="00AE52AF">
      <w:pPr>
        <w:numPr>
          <w:ilvl w:val="0"/>
          <w:numId w:val="4"/>
        </w:numPr>
        <w:spacing w:after="0" w:line="240" w:lineRule="auto"/>
      </w:pPr>
      <w:r>
        <w:t>Wonseok Lee — Oklahoma State University</w:t>
      </w:r>
    </w:p>
    <w:p w14:paraId="358D9D44" w14:textId="77777777" w:rsidR="00AE52AF" w:rsidRDefault="00AE52AF" w:rsidP="00AE52AF">
      <w:pPr>
        <w:numPr>
          <w:ilvl w:val="0"/>
          <w:numId w:val="4"/>
        </w:numPr>
        <w:spacing w:after="0" w:line="240" w:lineRule="auto"/>
      </w:pPr>
      <w:r>
        <w:t>Seungki Lee — The Ohio State University</w:t>
      </w:r>
    </w:p>
    <w:p w14:paraId="14D7115F" w14:textId="77777777" w:rsidR="00AE52AF" w:rsidRDefault="00AE52AF" w:rsidP="00AE52AF">
      <w:pPr>
        <w:numPr>
          <w:ilvl w:val="0"/>
          <w:numId w:val="4"/>
        </w:numPr>
        <w:spacing w:after="0" w:line="240" w:lineRule="auto"/>
      </w:pPr>
      <w:r>
        <w:t>Richie Ma — University of Illinois Urbana-Champaign</w:t>
      </w:r>
    </w:p>
    <w:p w14:paraId="19C230EC" w14:textId="77777777" w:rsidR="00AE52AF" w:rsidRDefault="00AE52AF" w:rsidP="00AE52AF">
      <w:pPr>
        <w:numPr>
          <w:ilvl w:val="0"/>
          <w:numId w:val="4"/>
        </w:numPr>
        <w:spacing w:after="0" w:line="240" w:lineRule="auto"/>
      </w:pPr>
      <w:r>
        <w:t>Ivy Mackereth — West Virginia University</w:t>
      </w:r>
    </w:p>
    <w:p w14:paraId="49DB852E" w14:textId="77777777" w:rsidR="00AE52AF" w:rsidRDefault="00AE52AF" w:rsidP="00AE52AF">
      <w:pPr>
        <w:numPr>
          <w:ilvl w:val="0"/>
          <w:numId w:val="4"/>
        </w:numPr>
        <w:spacing w:after="0" w:line="240" w:lineRule="auto"/>
      </w:pPr>
      <w:r>
        <w:t>Mindy Mallory — Purdue University</w:t>
      </w:r>
    </w:p>
    <w:p w14:paraId="05911F70" w14:textId="77777777" w:rsidR="00AE52AF" w:rsidRDefault="00AE52AF" w:rsidP="00AE52AF">
      <w:pPr>
        <w:numPr>
          <w:ilvl w:val="0"/>
          <w:numId w:val="4"/>
        </w:numPr>
        <w:spacing w:after="0" w:line="240" w:lineRule="auto"/>
      </w:pPr>
      <w:r>
        <w:t>Mark Manfredo — Arizona State University</w:t>
      </w:r>
    </w:p>
    <w:p w14:paraId="2B6FCA7B" w14:textId="77777777" w:rsidR="00AE52AF" w:rsidRDefault="00AE52AF" w:rsidP="00AE52AF">
      <w:pPr>
        <w:numPr>
          <w:ilvl w:val="0"/>
          <w:numId w:val="4"/>
        </w:numPr>
        <w:spacing w:after="0" w:line="240" w:lineRule="auto"/>
      </w:pPr>
      <w:r>
        <w:t>Olga Isengildina-Massa — Virginia Tech</w:t>
      </w:r>
    </w:p>
    <w:p w14:paraId="7AB78C66" w14:textId="77777777" w:rsidR="00AE52AF" w:rsidRDefault="00AE52AF" w:rsidP="00AE52AF">
      <w:pPr>
        <w:numPr>
          <w:ilvl w:val="0"/>
          <w:numId w:val="4"/>
        </w:numPr>
        <w:spacing w:after="0" w:line="240" w:lineRule="auto"/>
      </w:pPr>
      <w:r>
        <w:t>Fabio Mattos — University of Nebraska-Lincoln</w:t>
      </w:r>
    </w:p>
    <w:p w14:paraId="6E921C57" w14:textId="77777777" w:rsidR="00AE52AF" w:rsidRDefault="00AE52AF" w:rsidP="00AE52AF">
      <w:pPr>
        <w:numPr>
          <w:ilvl w:val="0"/>
          <w:numId w:val="4"/>
        </w:numPr>
        <w:spacing w:after="0" w:line="240" w:lineRule="auto"/>
      </w:pPr>
      <w:r>
        <w:t>Andrew McKenzie — University of Arkansas</w:t>
      </w:r>
    </w:p>
    <w:p w14:paraId="76561609" w14:textId="77777777" w:rsidR="00AE52AF" w:rsidRDefault="00AE52AF" w:rsidP="00AE52AF">
      <w:pPr>
        <w:numPr>
          <w:ilvl w:val="0"/>
          <w:numId w:val="4"/>
        </w:numPr>
        <w:spacing w:after="0" w:line="240" w:lineRule="auto"/>
      </w:pPr>
      <w:r>
        <w:t>William McWilliams — Virginia Tech</w:t>
      </w:r>
    </w:p>
    <w:p w14:paraId="5F984EC7" w14:textId="77777777" w:rsidR="00AE52AF" w:rsidRDefault="00AE52AF" w:rsidP="00AE52AF">
      <w:pPr>
        <w:numPr>
          <w:ilvl w:val="0"/>
          <w:numId w:val="4"/>
        </w:numPr>
        <w:spacing w:after="0" w:line="240" w:lineRule="auto"/>
      </w:pPr>
      <w:r>
        <w:lastRenderedPageBreak/>
        <w:t>Jesus Otero — Universidad del Rosario</w:t>
      </w:r>
    </w:p>
    <w:p w14:paraId="71131DB4" w14:textId="77777777" w:rsidR="00AE52AF" w:rsidRDefault="00AE52AF" w:rsidP="00AE52AF">
      <w:pPr>
        <w:numPr>
          <w:ilvl w:val="0"/>
          <w:numId w:val="4"/>
        </w:numPr>
        <w:spacing w:after="0" w:line="240" w:lineRule="auto"/>
      </w:pPr>
      <w:r>
        <w:t>Hyunju Park — University of Illinois Urbana-Champaign</w:t>
      </w:r>
    </w:p>
    <w:p w14:paraId="0567746F" w14:textId="77777777" w:rsidR="00AE52AF" w:rsidRDefault="00AE52AF" w:rsidP="00AE52AF">
      <w:pPr>
        <w:numPr>
          <w:ilvl w:val="0"/>
          <w:numId w:val="4"/>
        </w:numPr>
        <w:spacing w:after="0" w:line="240" w:lineRule="auto"/>
      </w:pPr>
      <w:r>
        <w:t>Brian Peterson — University of Illinois Urbana-Champaign</w:t>
      </w:r>
    </w:p>
    <w:p w14:paraId="6CEA8B7B" w14:textId="77777777" w:rsidR="00AE52AF" w:rsidRDefault="00AE52AF" w:rsidP="00AE52AF">
      <w:pPr>
        <w:numPr>
          <w:ilvl w:val="0"/>
          <w:numId w:val="4"/>
        </w:numPr>
        <w:spacing w:after="0" w:line="240" w:lineRule="auto"/>
      </w:pPr>
      <w:r>
        <w:t>Dewey Robertson — Kansas State University</w:t>
      </w:r>
    </w:p>
    <w:p w14:paraId="7CF5E09F" w14:textId="77777777" w:rsidR="00AE52AF" w:rsidRDefault="00AE52AF" w:rsidP="00AE52AF">
      <w:pPr>
        <w:numPr>
          <w:ilvl w:val="0"/>
          <w:numId w:val="4"/>
        </w:numPr>
        <w:spacing w:after="0" w:line="240" w:lineRule="auto"/>
      </w:pPr>
      <w:r>
        <w:t>Teresa Serra — University of Illinois Urbana-Champaign</w:t>
      </w:r>
    </w:p>
    <w:p w14:paraId="7FB7262C" w14:textId="77777777" w:rsidR="00AE52AF" w:rsidRDefault="00AE52AF" w:rsidP="00AE52AF">
      <w:pPr>
        <w:numPr>
          <w:ilvl w:val="0"/>
          <w:numId w:val="4"/>
        </w:numPr>
        <w:spacing w:after="0" w:line="240" w:lineRule="auto"/>
      </w:pPr>
      <w:r>
        <w:t>Joshua Strine — Purdue University</w:t>
      </w:r>
    </w:p>
    <w:p w14:paraId="30407446" w14:textId="77777777" w:rsidR="00AE52AF" w:rsidRDefault="00AE52AF" w:rsidP="00AE52AF">
      <w:pPr>
        <w:numPr>
          <w:ilvl w:val="0"/>
          <w:numId w:val="4"/>
        </w:numPr>
        <w:spacing w:after="0" w:line="240" w:lineRule="auto"/>
      </w:pPr>
      <w:r>
        <w:t>Zhining Sun — The Ohio State University</w:t>
      </w:r>
    </w:p>
    <w:p w14:paraId="33B978DF" w14:textId="77777777" w:rsidR="00AE52AF" w:rsidRDefault="00AE52AF" w:rsidP="00AE52AF">
      <w:pPr>
        <w:numPr>
          <w:ilvl w:val="0"/>
          <w:numId w:val="4"/>
        </w:numPr>
        <w:spacing w:after="0" w:line="240" w:lineRule="auto"/>
      </w:pPr>
      <w:r>
        <w:t>Andres Trujillo-Barrera — University of Idaho</w:t>
      </w:r>
    </w:p>
    <w:p w14:paraId="6D5EDBE0" w14:textId="77777777" w:rsidR="00AE52AF" w:rsidRDefault="00AE52AF" w:rsidP="00AE52AF">
      <w:pPr>
        <w:numPr>
          <w:ilvl w:val="0"/>
          <w:numId w:val="4"/>
        </w:numPr>
        <w:spacing w:after="0" w:line="240" w:lineRule="auto"/>
      </w:pPr>
      <w:r>
        <w:t>Leonard Twizeyimana — University of Nebraska-Lincoln</w:t>
      </w:r>
    </w:p>
    <w:p w14:paraId="6B260A8C" w14:textId="77777777" w:rsidR="00AE52AF" w:rsidRDefault="00AE52AF" w:rsidP="00AE52AF">
      <w:pPr>
        <w:numPr>
          <w:ilvl w:val="0"/>
          <w:numId w:val="4"/>
        </w:numPr>
        <w:spacing w:after="0" w:line="240" w:lineRule="auto"/>
      </w:pPr>
      <w:r>
        <w:t>Huajin Wang — Purdue University</w:t>
      </w:r>
    </w:p>
    <w:p w14:paraId="2D6F8589" w14:textId="77777777" w:rsidR="00AE52AF" w:rsidRDefault="00AE52AF" w:rsidP="00AE52AF">
      <w:pPr>
        <w:numPr>
          <w:ilvl w:val="0"/>
          <w:numId w:val="4"/>
        </w:numPr>
        <w:spacing w:after="0" w:line="240" w:lineRule="auto"/>
      </w:pPr>
      <w:r>
        <w:t>Yu-Chi Wang — University of Illinois Urbana-Champaign</w:t>
      </w:r>
    </w:p>
    <w:p w14:paraId="2A62A92B" w14:textId="77777777" w:rsidR="00AE52AF" w:rsidRDefault="00AE52AF" w:rsidP="00AE52AF">
      <w:pPr>
        <w:numPr>
          <w:ilvl w:val="0"/>
          <w:numId w:val="4"/>
        </w:numPr>
        <w:spacing w:after="0" w:line="240" w:lineRule="auto"/>
      </w:pPr>
      <w:r>
        <w:t>Shujie Wu — University of Illinois Urbana-Champaign</w:t>
      </w:r>
    </w:p>
    <w:p w14:paraId="2600ACA4" w14:textId="77777777" w:rsidR="00AE52AF" w:rsidRDefault="00AE52AF" w:rsidP="00AE52AF">
      <w:pPr>
        <w:numPr>
          <w:ilvl w:val="0"/>
          <w:numId w:val="4"/>
        </w:numPr>
        <w:spacing w:after="0" w:line="240" w:lineRule="auto"/>
      </w:pPr>
      <w:r>
        <w:t>Hongqiang Yan — Arizona State University</w:t>
      </w:r>
    </w:p>
    <w:p w14:paraId="02EBD724" w14:textId="77777777" w:rsidR="00AE52AF" w:rsidRDefault="00AE52AF" w:rsidP="00AE52AF">
      <w:pPr>
        <w:numPr>
          <w:ilvl w:val="0"/>
          <w:numId w:val="4"/>
        </w:numPr>
        <w:spacing w:after="0" w:line="240" w:lineRule="auto"/>
      </w:pPr>
      <w:r>
        <w:t>Yao Yang — University of Arkansas</w:t>
      </w:r>
    </w:p>
    <w:p w14:paraId="2CA91F1A" w14:textId="77777777" w:rsidR="00AE52AF" w:rsidRDefault="00AE52AF" w:rsidP="00AE52AF">
      <w:pPr>
        <w:numPr>
          <w:ilvl w:val="0"/>
          <w:numId w:val="4"/>
        </w:numPr>
        <w:spacing w:after="0" w:line="240" w:lineRule="auto"/>
      </w:pPr>
      <w:r>
        <w:t>Yuan Zhang — University of Arkansas</w:t>
      </w:r>
    </w:p>
    <w:p w14:paraId="6F1AE390" w14:textId="77777777" w:rsidR="00AE52AF" w:rsidRDefault="00AE52AF" w:rsidP="00AE52AF">
      <w:pPr>
        <w:numPr>
          <w:ilvl w:val="0"/>
          <w:numId w:val="4"/>
        </w:numPr>
        <w:spacing w:after="0" w:line="240" w:lineRule="auto"/>
      </w:pPr>
      <w:r>
        <w:t>Xinyu Zhu — University of Georgia</w:t>
      </w:r>
    </w:p>
    <w:bookmarkEnd w:id="0"/>
    <w:p w14:paraId="156A0C37" w14:textId="77777777" w:rsidR="00AE52AF" w:rsidRDefault="00AE52AF" w:rsidP="00AE52AF"/>
    <w:sectPr w:rsidR="00AE52AF">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2E392" w14:textId="77777777" w:rsidR="008821C6" w:rsidRDefault="008821C6" w:rsidP="00AE52AF">
      <w:pPr>
        <w:spacing w:after="0" w:line="240" w:lineRule="auto"/>
      </w:pPr>
      <w:r>
        <w:separator/>
      </w:r>
    </w:p>
  </w:endnote>
  <w:endnote w:type="continuationSeparator" w:id="0">
    <w:p w14:paraId="19E8746B" w14:textId="77777777" w:rsidR="008821C6" w:rsidRDefault="008821C6" w:rsidP="00AE5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6803404"/>
      <w:docPartObj>
        <w:docPartGallery w:val="Page Numbers (Bottom of Page)"/>
        <w:docPartUnique/>
      </w:docPartObj>
    </w:sdtPr>
    <w:sdtEndPr>
      <w:rPr>
        <w:noProof/>
      </w:rPr>
    </w:sdtEndPr>
    <w:sdtContent>
      <w:p w14:paraId="0DE26DE4" w14:textId="5F03BB46" w:rsidR="00AE52AF" w:rsidRDefault="00AE52A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4CBC56" w14:textId="77777777" w:rsidR="00AE52AF" w:rsidRDefault="00AE52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A3FBB" w14:textId="77777777" w:rsidR="008821C6" w:rsidRDefault="008821C6" w:rsidP="00AE52AF">
      <w:pPr>
        <w:spacing w:after="0" w:line="240" w:lineRule="auto"/>
      </w:pPr>
      <w:r>
        <w:separator/>
      </w:r>
    </w:p>
  </w:footnote>
  <w:footnote w:type="continuationSeparator" w:id="0">
    <w:p w14:paraId="37358592" w14:textId="77777777" w:rsidR="008821C6" w:rsidRDefault="008821C6" w:rsidP="00AE52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B2920716"/>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97729B12"/>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411"/>
    <w:multiLevelType w:val="multilevel"/>
    <w:tmpl w:val="35E268B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88F0CF6"/>
    <w:multiLevelType w:val="hybridMultilevel"/>
    <w:tmpl w:val="CD6A0D8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754D646D"/>
    <w:multiLevelType w:val="hybridMultilevel"/>
    <w:tmpl w:val="F816EC3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3655055">
    <w:abstractNumId w:val="4"/>
  </w:num>
  <w:num w:numId="2" w16cid:durableId="823662423">
    <w:abstractNumId w:val="3"/>
  </w:num>
  <w:num w:numId="3" w16cid:durableId="1642031468">
    <w:abstractNumId w:val="0"/>
  </w:num>
  <w:num w:numId="4" w16cid:durableId="938174087">
    <w:abstractNumId w:val="1"/>
  </w:num>
  <w:num w:numId="5" w16cid:durableId="17539674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39E"/>
    <w:rsid w:val="0005763D"/>
    <w:rsid w:val="000A7DC0"/>
    <w:rsid w:val="000C64A2"/>
    <w:rsid w:val="000D7DE0"/>
    <w:rsid w:val="0010364D"/>
    <w:rsid w:val="00145B23"/>
    <w:rsid w:val="00166550"/>
    <w:rsid w:val="001B5099"/>
    <w:rsid w:val="002A4BB5"/>
    <w:rsid w:val="002C546B"/>
    <w:rsid w:val="002F5CA9"/>
    <w:rsid w:val="00373E82"/>
    <w:rsid w:val="003B7B6D"/>
    <w:rsid w:val="003F6BA0"/>
    <w:rsid w:val="00427549"/>
    <w:rsid w:val="00463104"/>
    <w:rsid w:val="004C6B89"/>
    <w:rsid w:val="004F5171"/>
    <w:rsid w:val="00513567"/>
    <w:rsid w:val="005844A6"/>
    <w:rsid w:val="0061039E"/>
    <w:rsid w:val="00616D84"/>
    <w:rsid w:val="006231CD"/>
    <w:rsid w:val="006A1B34"/>
    <w:rsid w:val="006B0A76"/>
    <w:rsid w:val="006D0DBA"/>
    <w:rsid w:val="00720CDB"/>
    <w:rsid w:val="00735480"/>
    <w:rsid w:val="007766B0"/>
    <w:rsid w:val="00796239"/>
    <w:rsid w:val="007B5C26"/>
    <w:rsid w:val="0084723B"/>
    <w:rsid w:val="008821C6"/>
    <w:rsid w:val="00886587"/>
    <w:rsid w:val="008C732A"/>
    <w:rsid w:val="008D3D31"/>
    <w:rsid w:val="00911E2A"/>
    <w:rsid w:val="009B4D6C"/>
    <w:rsid w:val="00A574F7"/>
    <w:rsid w:val="00A93CFF"/>
    <w:rsid w:val="00AA51B4"/>
    <w:rsid w:val="00AD2BBB"/>
    <w:rsid w:val="00AE52AF"/>
    <w:rsid w:val="00B61C7B"/>
    <w:rsid w:val="00B9798B"/>
    <w:rsid w:val="00BA2F2C"/>
    <w:rsid w:val="00C617F7"/>
    <w:rsid w:val="00C804D5"/>
    <w:rsid w:val="00CA14CC"/>
    <w:rsid w:val="00D01575"/>
    <w:rsid w:val="00D112F0"/>
    <w:rsid w:val="00D13E9F"/>
    <w:rsid w:val="00D520DC"/>
    <w:rsid w:val="00D524DD"/>
    <w:rsid w:val="00DE2B83"/>
    <w:rsid w:val="00E24983"/>
    <w:rsid w:val="00E77020"/>
    <w:rsid w:val="00E91983"/>
    <w:rsid w:val="00EA74C2"/>
    <w:rsid w:val="00ED38B4"/>
    <w:rsid w:val="00EE469E"/>
    <w:rsid w:val="00F127D2"/>
    <w:rsid w:val="00F31438"/>
    <w:rsid w:val="00FB75D7"/>
    <w:rsid w:val="00FC3BAA"/>
    <w:rsid w:val="00FC3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33C66"/>
  <w15:docId w15:val="{097A1F1B-9628-4864-A1F5-6D11478EB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039E"/>
    <w:pPr>
      <w:ind w:left="720"/>
      <w:contextualSpacing/>
    </w:pPr>
  </w:style>
  <w:style w:type="character" w:styleId="Hyperlink">
    <w:name w:val="Hyperlink"/>
    <w:basedOn w:val="DefaultParagraphFont"/>
    <w:uiPriority w:val="99"/>
    <w:unhideWhenUsed/>
    <w:rsid w:val="0005763D"/>
    <w:rPr>
      <w:color w:val="0000FF"/>
      <w:u w:val="single"/>
    </w:rPr>
  </w:style>
  <w:style w:type="character" w:customStyle="1" w:styleId="rphighlightallclass">
    <w:name w:val="rphighlightallclass"/>
    <w:basedOn w:val="DefaultParagraphFont"/>
    <w:rsid w:val="0005763D"/>
  </w:style>
  <w:style w:type="paragraph" w:customStyle="1" w:styleId="Default">
    <w:name w:val="Default"/>
    <w:rsid w:val="008D3D31"/>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AD2BBB"/>
    <w:rPr>
      <w:color w:val="605E5C"/>
      <w:shd w:val="clear" w:color="auto" w:fill="E1DFDD"/>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 w:type="paragraph" w:styleId="Header">
    <w:name w:val="header"/>
    <w:basedOn w:val="Normal"/>
    <w:link w:val="HeaderChar"/>
    <w:uiPriority w:val="99"/>
    <w:unhideWhenUsed/>
    <w:rsid w:val="00AE52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52AF"/>
  </w:style>
  <w:style w:type="paragraph" w:styleId="Footer">
    <w:name w:val="footer"/>
    <w:basedOn w:val="Normal"/>
    <w:link w:val="FooterChar"/>
    <w:uiPriority w:val="99"/>
    <w:unhideWhenUsed/>
    <w:rsid w:val="00AE52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52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0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econsearch.umn.edu/collection/1249?ln=e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armdoc.illinois.edu/nccc13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doi.org/10.1002/fut.70020%20Presented%20at%20NCCC-134%202024" TargetMode="External"/><Relationship Id="rId4" Type="http://schemas.openxmlformats.org/officeDocument/2006/relationships/webSettings" Target="webSettings.xml"/><Relationship Id="rId9" Type="http://schemas.openxmlformats.org/officeDocument/2006/relationships/hyperlink" Target="https://doi.org/10.1111/ajae.12479%20Presented%20at%20NCCC-134%20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6</Pages>
  <Words>1929</Words>
  <Characters>10997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Trujillo-Barrera, Andres (aatrujillo@uidaho.edu)</cp:lastModifiedBy>
  <cp:revision>8</cp:revision>
  <dcterms:created xsi:type="dcterms:W3CDTF">2026-06-02T23:21:00Z</dcterms:created>
  <dcterms:modified xsi:type="dcterms:W3CDTF">2026-06-17T17:50:00Z</dcterms:modified>
</cp:coreProperties>
</file>