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D4F4" w14:textId="77777777" w:rsidR="00AD2440" w:rsidRPr="007C397A" w:rsidRDefault="00AD2440" w:rsidP="00AD2440">
      <w:pPr>
        <w:spacing w:after="0" w:line="240" w:lineRule="auto"/>
        <w:rPr>
          <w:rFonts w:ascii="Times New Roman" w:hAnsi="Times New Roman"/>
          <w:b/>
        </w:rPr>
      </w:pPr>
      <w:r w:rsidRPr="007C397A">
        <w:rPr>
          <w:rFonts w:ascii="Times New Roman" w:hAnsi="Times New Roman"/>
          <w:b/>
        </w:rPr>
        <w:t>Accomplishments</w:t>
      </w:r>
    </w:p>
    <w:p w14:paraId="3BDD8003" w14:textId="77777777" w:rsidR="00AD2440" w:rsidRPr="00BD56BC" w:rsidRDefault="00AD2440" w:rsidP="00AD2440">
      <w:pPr>
        <w:pStyle w:val="NormalWeb"/>
        <w:spacing w:before="0" w:beforeAutospacing="0" w:after="0" w:afterAutospacing="0"/>
        <w:rPr>
          <w:rFonts w:eastAsiaTheme="minorEastAsia" w:hint="eastAsia"/>
          <w:b/>
          <w:bCs/>
          <w:sz w:val="22"/>
          <w:szCs w:val="22"/>
        </w:rPr>
      </w:pPr>
      <w:r w:rsidRPr="00BD56BC">
        <w:rPr>
          <w:rFonts w:eastAsiaTheme="minorEastAsia"/>
          <w:b/>
          <w:bCs/>
          <w:sz w:val="22"/>
          <w:szCs w:val="22"/>
        </w:rPr>
        <w:t>P</w:t>
      </w:r>
      <w:r w:rsidRPr="00BD56BC">
        <w:rPr>
          <w:b/>
          <w:bCs/>
          <w:sz w:val="22"/>
          <w:szCs w:val="22"/>
        </w:rPr>
        <w:t xml:space="preserve">rofessional </w:t>
      </w:r>
      <w:r w:rsidRPr="00BD56BC">
        <w:rPr>
          <w:rFonts w:eastAsiaTheme="minorEastAsia" w:hint="eastAsia"/>
          <w:b/>
          <w:bCs/>
          <w:sz w:val="22"/>
          <w:szCs w:val="22"/>
        </w:rPr>
        <w:t>Publications</w:t>
      </w:r>
    </w:p>
    <w:p w14:paraId="3B84D818"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Barua, S., Boyer, C. N., DeLong, K. L., Griffith, A., &amp; Martinez, C. (2026). The use of price risk management tools by cattle producers. </w:t>
      </w:r>
      <w:r w:rsidRPr="00627FFA">
        <w:rPr>
          <w:rStyle w:val="Emphasis"/>
          <w:sz w:val="22"/>
          <w:szCs w:val="22"/>
        </w:rPr>
        <w:t>Agricultural Finance Review, 86</w:t>
      </w:r>
      <w:r w:rsidRPr="00627FFA">
        <w:rPr>
          <w:sz w:val="22"/>
          <w:szCs w:val="22"/>
        </w:rPr>
        <w:t>(3), 379–391.</w:t>
      </w:r>
    </w:p>
    <w:p w14:paraId="7262E4DC" w14:textId="77777777" w:rsidR="00AD2440" w:rsidRPr="00627FFA" w:rsidRDefault="00AD2440" w:rsidP="00AD2440">
      <w:pPr>
        <w:pStyle w:val="NormalWeb"/>
        <w:spacing w:before="0" w:beforeAutospacing="0" w:after="0" w:afterAutospacing="0"/>
        <w:ind w:left="360"/>
        <w:rPr>
          <w:sz w:val="22"/>
          <w:szCs w:val="22"/>
        </w:rPr>
      </w:pPr>
      <w:proofErr w:type="spellStart"/>
      <w:r w:rsidRPr="00627FFA">
        <w:rPr>
          <w:sz w:val="22"/>
          <w:szCs w:val="22"/>
        </w:rPr>
        <w:t>Britwum</w:t>
      </w:r>
      <w:proofErr w:type="spellEnd"/>
      <w:r w:rsidRPr="00627FFA">
        <w:rPr>
          <w:sz w:val="22"/>
          <w:szCs w:val="22"/>
        </w:rPr>
        <w:t xml:space="preserve">, K., Bruce, N. S., Gardner, G. E., Davidson, K. A., &amp; Mattos, F. L. (2026). Selling the harvest: What drives farmers’ use of grain marketing tools? </w:t>
      </w:r>
      <w:r w:rsidRPr="00627FFA">
        <w:rPr>
          <w:rStyle w:val="Emphasis"/>
          <w:sz w:val="22"/>
          <w:szCs w:val="22"/>
        </w:rPr>
        <w:t>Choices, 41</w:t>
      </w:r>
      <w:r w:rsidRPr="00627FFA">
        <w:rPr>
          <w:sz w:val="22"/>
          <w:szCs w:val="22"/>
        </w:rPr>
        <w:t>(1), 1–8.</w:t>
      </w:r>
    </w:p>
    <w:p w14:paraId="56F2CB73"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Chen, L., Boyer, C. N., &amp; Smith, S. A. (2026). Ad hoc and Farm Bill payments impact on non-real estate farm debt. </w:t>
      </w:r>
      <w:r w:rsidRPr="00627FFA">
        <w:rPr>
          <w:rStyle w:val="Emphasis"/>
          <w:sz w:val="22"/>
          <w:szCs w:val="22"/>
        </w:rPr>
        <w:t>Agricultural Finance Review, 86</w:t>
      </w:r>
      <w:r w:rsidRPr="00627FFA">
        <w:rPr>
          <w:sz w:val="22"/>
          <w:szCs w:val="22"/>
        </w:rPr>
        <w:t>(3), 423–439.</w:t>
      </w:r>
    </w:p>
    <w:p w14:paraId="3B73DA9C"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Duncan, H., Boyer, C. N., Park, E., &amp; Smith, S. A. (2026). Evaluating Feral Swine Eradication and Control Pilot Program impact on crop indemnities. </w:t>
      </w:r>
      <w:r w:rsidRPr="00627FFA">
        <w:rPr>
          <w:rStyle w:val="Emphasis"/>
          <w:sz w:val="22"/>
          <w:szCs w:val="22"/>
        </w:rPr>
        <w:t>Applied Economic Perspectives and Policy</w:t>
      </w:r>
      <w:r w:rsidRPr="00627FFA">
        <w:rPr>
          <w:sz w:val="22"/>
          <w:szCs w:val="22"/>
        </w:rPr>
        <w:t>.</w:t>
      </w:r>
    </w:p>
    <w:p w14:paraId="669678B9"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Fenton, M., Goodrich, B. K., &amp; Penn, J. (2025). Measuring beekeepers' economic value of contract enhancements in almond pollination agreements. </w:t>
      </w:r>
      <w:r w:rsidRPr="00627FFA">
        <w:rPr>
          <w:rStyle w:val="Emphasis"/>
          <w:sz w:val="22"/>
          <w:szCs w:val="22"/>
        </w:rPr>
        <w:t>Ecological Economics, 227</w:t>
      </w:r>
      <w:r w:rsidRPr="00627FFA">
        <w:rPr>
          <w:sz w:val="22"/>
          <w:szCs w:val="22"/>
        </w:rPr>
        <w:t>, 108351.</w:t>
      </w:r>
    </w:p>
    <w:p w14:paraId="35A23A2F"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Gardner, G. E., Sampson, G. S., &amp; Zhao, S. (2026). Cover crop and no-till adoption: What affects willingness to </w:t>
      </w:r>
      <w:proofErr w:type="gramStart"/>
      <w:r w:rsidRPr="00627FFA">
        <w:rPr>
          <w:sz w:val="22"/>
          <w:szCs w:val="22"/>
        </w:rPr>
        <w:t>accept of</w:t>
      </w:r>
      <w:proofErr w:type="gramEnd"/>
      <w:r w:rsidRPr="00627FFA">
        <w:rPr>
          <w:sz w:val="22"/>
          <w:szCs w:val="22"/>
        </w:rPr>
        <w:t xml:space="preserve"> cover crop and no-till contracts? </w:t>
      </w:r>
      <w:r w:rsidRPr="00627FFA">
        <w:rPr>
          <w:rStyle w:val="Emphasis"/>
          <w:sz w:val="22"/>
          <w:szCs w:val="22"/>
        </w:rPr>
        <w:t>Australian Journal of Agricultural and Resource Economics</w:t>
      </w:r>
      <w:r w:rsidRPr="00627FFA">
        <w:rPr>
          <w:sz w:val="22"/>
          <w:szCs w:val="22"/>
        </w:rPr>
        <w:t>.</w:t>
      </w:r>
    </w:p>
    <w:p w14:paraId="2B9EE2E9"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Goodrich, B. (2025). Apiculture Rainfall Index Insurance: An insurance product for beekeeping operations of all sizes. </w:t>
      </w:r>
      <w:proofErr w:type="spellStart"/>
      <w:r w:rsidRPr="00627FFA">
        <w:rPr>
          <w:rStyle w:val="Emphasis"/>
          <w:sz w:val="22"/>
          <w:szCs w:val="22"/>
        </w:rPr>
        <w:t>farmdoc</w:t>
      </w:r>
      <w:proofErr w:type="spellEnd"/>
      <w:r w:rsidRPr="00627FFA">
        <w:rPr>
          <w:rStyle w:val="Emphasis"/>
          <w:sz w:val="22"/>
          <w:szCs w:val="22"/>
        </w:rPr>
        <w:t xml:space="preserve"> daily, 15</w:t>
      </w:r>
      <w:r w:rsidRPr="00627FFA">
        <w:rPr>
          <w:sz w:val="22"/>
          <w:szCs w:val="22"/>
        </w:rPr>
        <w:t>(190).</w:t>
      </w:r>
    </w:p>
    <w:p w14:paraId="0973C337"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Goodrich, B., &amp; Altschuler, A. (2025). Where have all the </w:t>
      </w:r>
      <w:proofErr w:type="gramStart"/>
      <w:r w:rsidRPr="00627FFA">
        <w:rPr>
          <w:sz w:val="22"/>
          <w:szCs w:val="22"/>
        </w:rPr>
        <w:t>honey bees</w:t>
      </w:r>
      <w:proofErr w:type="gramEnd"/>
      <w:r w:rsidRPr="00627FFA">
        <w:rPr>
          <w:sz w:val="22"/>
          <w:szCs w:val="22"/>
        </w:rPr>
        <w:t xml:space="preserve"> gone? To California almond orchards. </w:t>
      </w:r>
      <w:proofErr w:type="spellStart"/>
      <w:r w:rsidRPr="00627FFA">
        <w:rPr>
          <w:rStyle w:val="Emphasis"/>
          <w:sz w:val="22"/>
          <w:szCs w:val="22"/>
        </w:rPr>
        <w:t>farmdoc</w:t>
      </w:r>
      <w:proofErr w:type="spellEnd"/>
      <w:r w:rsidRPr="00627FFA">
        <w:rPr>
          <w:rStyle w:val="Emphasis"/>
          <w:sz w:val="22"/>
          <w:szCs w:val="22"/>
        </w:rPr>
        <w:t xml:space="preserve"> daily, 15</w:t>
      </w:r>
      <w:r w:rsidRPr="00627FFA">
        <w:rPr>
          <w:sz w:val="22"/>
          <w:szCs w:val="22"/>
        </w:rPr>
        <w:t>(30).</w:t>
      </w:r>
    </w:p>
    <w:p w14:paraId="3914BBCB"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Goodrich, B., Yu, J., Davidson, K., &amp; Goh, G. (2026). Rainfall timing, forage growth, and insuring forage: Linking producer perceptions to observational data. </w:t>
      </w:r>
      <w:r w:rsidRPr="00627FFA">
        <w:rPr>
          <w:rStyle w:val="Emphasis"/>
          <w:sz w:val="22"/>
          <w:szCs w:val="22"/>
        </w:rPr>
        <w:t>American Journal of Agricultural Economics, 108</w:t>
      </w:r>
      <w:r w:rsidRPr="00627FFA">
        <w:rPr>
          <w:sz w:val="22"/>
          <w:szCs w:val="22"/>
        </w:rPr>
        <w:t>(3), 747–770.</w:t>
      </w:r>
    </w:p>
    <w:p w14:paraId="6B753808"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Majeed, F., Khanna, M., &amp; Miao, R. (2026). Designing cost-effective carbon payments to induce cellulosic feedstock production for sustainable aviation fuel. </w:t>
      </w:r>
      <w:r w:rsidRPr="00627FFA">
        <w:rPr>
          <w:rStyle w:val="Emphasis"/>
          <w:sz w:val="22"/>
          <w:szCs w:val="22"/>
        </w:rPr>
        <w:t>Applied Economic Perspectives and Policy, 48</w:t>
      </w:r>
      <w:r w:rsidRPr="00627FFA">
        <w:rPr>
          <w:sz w:val="22"/>
          <w:szCs w:val="22"/>
        </w:rPr>
        <w:t>(2), 346–358.</w:t>
      </w:r>
    </w:p>
    <w:p w14:paraId="0AF36A38"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Mitra, P., Huseynov, S., &amp; Miao, R. (2026). From labels to land: Information acquisition and precautionary behaviors of pesticide use in India. </w:t>
      </w:r>
      <w:r w:rsidRPr="00627FFA">
        <w:rPr>
          <w:rStyle w:val="Emphasis"/>
          <w:sz w:val="22"/>
          <w:szCs w:val="22"/>
        </w:rPr>
        <w:t>Agriculture and Human Values, 43</w:t>
      </w:r>
      <w:r w:rsidRPr="00627FFA">
        <w:rPr>
          <w:sz w:val="22"/>
          <w:szCs w:val="22"/>
        </w:rPr>
        <w:t>(1), 44.</w:t>
      </w:r>
    </w:p>
    <w:p w14:paraId="373E9B9E"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Muyombo, E. D., Brorsen, B. W., Krueger, E. S., Ochsner, T. E., &amp; Van Leuven, A. J. (2025). NASA’s modeled soil moisture data as an index for forage crop insurance and disaster protection programs: The case of Oklahoma. </w:t>
      </w:r>
      <w:r w:rsidRPr="00627FFA">
        <w:rPr>
          <w:rStyle w:val="Emphasis"/>
          <w:sz w:val="22"/>
          <w:szCs w:val="22"/>
        </w:rPr>
        <w:t>Agricultural and Forest Meteorology, 373</w:t>
      </w:r>
      <w:r w:rsidRPr="00627FFA">
        <w:rPr>
          <w:sz w:val="22"/>
          <w:szCs w:val="22"/>
        </w:rPr>
        <w:t>, 110772.</w:t>
      </w:r>
    </w:p>
    <w:p w14:paraId="77E4DBDB"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Radmehr, R., Brorsen, B. W., Krueger, E. S., &amp; Ochsner, T. E. (2026). Understanding the potential uses of soil moisture information in the United States. </w:t>
      </w:r>
      <w:r w:rsidRPr="00627FFA">
        <w:rPr>
          <w:rStyle w:val="Emphasis"/>
          <w:sz w:val="22"/>
          <w:szCs w:val="22"/>
        </w:rPr>
        <w:t>Vadose Zone Journal, 25</w:t>
      </w:r>
      <w:r w:rsidRPr="00627FFA">
        <w:rPr>
          <w:sz w:val="22"/>
          <w:szCs w:val="22"/>
        </w:rPr>
        <w:t>(2), e70087.</w:t>
      </w:r>
    </w:p>
    <w:p w14:paraId="21D34A22"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Schaefer, K. A., &amp; Davidson, K. (forthcoming). What do Americans believe about food tariffs? </w:t>
      </w:r>
      <w:r w:rsidRPr="00627FFA">
        <w:rPr>
          <w:rStyle w:val="Emphasis"/>
          <w:sz w:val="22"/>
          <w:szCs w:val="22"/>
        </w:rPr>
        <w:t>Choices Magazine</w:t>
      </w:r>
      <w:r w:rsidRPr="00627FFA">
        <w:rPr>
          <w:sz w:val="22"/>
          <w:szCs w:val="22"/>
        </w:rPr>
        <w:t>.</w:t>
      </w:r>
    </w:p>
    <w:p w14:paraId="41CFD1A5"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Serrano, E., Gardner, G., &amp; Biram, H. (forthcoming). Enhancing crop insurance decisions with data-driven tools. </w:t>
      </w:r>
      <w:r w:rsidRPr="00627FFA">
        <w:rPr>
          <w:rStyle w:val="Emphasis"/>
          <w:sz w:val="22"/>
          <w:szCs w:val="22"/>
        </w:rPr>
        <w:t>Journal of the American Society of Farm Managers and Rural Appraisers</w:t>
      </w:r>
      <w:r w:rsidRPr="00627FFA">
        <w:rPr>
          <w:sz w:val="22"/>
          <w:szCs w:val="22"/>
        </w:rPr>
        <w:t>.</w:t>
      </w:r>
    </w:p>
    <w:p w14:paraId="5CAA71DE"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Tack, J. B., Ala-Kokko, K., Gardner, G. E., Breneman, V., Arita, S., &amp; Cooper, J. (2026). Climate-based measures of supply chain resilience. </w:t>
      </w:r>
      <w:r w:rsidRPr="00627FFA">
        <w:rPr>
          <w:rStyle w:val="Emphasis"/>
          <w:sz w:val="22"/>
          <w:szCs w:val="22"/>
        </w:rPr>
        <w:t>Agricultural Finance Review, 86</w:t>
      </w:r>
      <w:r w:rsidRPr="00627FFA">
        <w:rPr>
          <w:sz w:val="22"/>
          <w:szCs w:val="22"/>
        </w:rPr>
        <w:t>(1), 3–24.</w:t>
      </w:r>
    </w:p>
    <w:p w14:paraId="11DF4411" w14:textId="77777777" w:rsidR="00AD2440" w:rsidRPr="00627FFA" w:rsidRDefault="00AD2440" w:rsidP="00AD2440">
      <w:pPr>
        <w:pStyle w:val="NormalWeb"/>
        <w:spacing w:before="0" w:beforeAutospacing="0" w:after="0" w:afterAutospacing="0"/>
        <w:ind w:left="360"/>
        <w:rPr>
          <w:sz w:val="22"/>
          <w:szCs w:val="22"/>
        </w:rPr>
      </w:pPr>
      <w:r w:rsidRPr="00627FFA">
        <w:rPr>
          <w:sz w:val="22"/>
          <w:szCs w:val="22"/>
        </w:rPr>
        <w:t xml:space="preserve">Wilson, N. L. W., &amp; Miao, R. (2025). Food waste, date labels, and risk preferences: An experimental exploration. </w:t>
      </w:r>
      <w:r w:rsidRPr="00627FFA">
        <w:rPr>
          <w:rStyle w:val="Emphasis"/>
          <w:sz w:val="22"/>
          <w:szCs w:val="22"/>
        </w:rPr>
        <w:t>Applied Economic Perspectives and Policy, 47</w:t>
      </w:r>
      <w:r w:rsidRPr="00627FFA">
        <w:rPr>
          <w:sz w:val="22"/>
          <w:szCs w:val="22"/>
        </w:rPr>
        <w:t>(3), 1029–1057.</w:t>
      </w:r>
    </w:p>
    <w:p w14:paraId="3D4301AA" w14:textId="77777777" w:rsidR="00AD2440" w:rsidRDefault="00AD2440" w:rsidP="00AD2440">
      <w:pPr>
        <w:pStyle w:val="NormalWeb"/>
        <w:spacing w:before="0" w:beforeAutospacing="0" w:after="0" w:afterAutospacing="0"/>
        <w:ind w:left="360"/>
        <w:rPr>
          <w:rFonts w:eastAsiaTheme="minorEastAsia"/>
          <w:sz w:val="22"/>
          <w:szCs w:val="22"/>
        </w:rPr>
      </w:pPr>
      <w:r w:rsidRPr="00627FFA">
        <w:rPr>
          <w:sz w:val="22"/>
          <w:szCs w:val="22"/>
        </w:rPr>
        <w:t xml:space="preserve">Zhang, J., Malikov, E., Miao, R., &amp; Ghosh, P. (2026). Geography of climate change adaptation in U.S. agriculture. </w:t>
      </w:r>
      <w:r w:rsidRPr="00627FFA">
        <w:rPr>
          <w:rStyle w:val="Emphasis"/>
          <w:sz w:val="22"/>
          <w:szCs w:val="22"/>
        </w:rPr>
        <w:t>Journal of Regional Science, 66</w:t>
      </w:r>
      <w:r w:rsidRPr="00627FFA">
        <w:rPr>
          <w:sz w:val="22"/>
          <w:szCs w:val="22"/>
        </w:rPr>
        <w:t>(1), 46–88.</w:t>
      </w:r>
    </w:p>
    <w:p w14:paraId="4EA3A728" w14:textId="77777777" w:rsidR="00AD2440" w:rsidRPr="00BD56BC" w:rsidRDefault="00AD2440" w:rsidP="00AD2440">
      <w:pPr>
        <w:pStyle w:val="NormalWeb"/>
        <w:spacing w:before="0" w:beforeAutospacing="0" w:after="0" w:afterAutospacing="0"/>
        <w:ind w:left="360"/>
        <w:rPr>
          <w:rFonts w:eastAsiaTheme="minorEastAsia" w:hint="eastAsia"/>
          <w:sz w:val="22"/>
          <w:szCs w:val="22"/>
        </w:rPr>
      </w:pPr>
    </w:p>
    <w:p w14:paraId="77507F8C" w14:textId="77777777" w:rsidR="00AD2440" w:rsidRPr="00BD56BC" w:rsidRDefault="00AD2440" w:rsidP="00AD2440">
      <w:pPr>
        <w:spacing w:after="0" w:line="240" w:lineRule="auto"/>
        <w:rPr>
          <w:rFonts w:ascii="Times New Roman" w:hAnsi="Times New Roman"/>
          <w:b/>
          <w:bCs w:val="0"/>
          <w:szCs w:val="22"/>
        </w:rPr>
      </w:pPr>
      <w:r w:rsidRPr="00BD56BC">
        <w:rPr>
          <w:rFonts w:ascii="Times New Roman" w:eastAsiaTheme="minorEastAsia" w:hAnsi="Times New Roman"/>
          <w:b/>
          <w:bCs w:val="0"/>
          <w:szCs w:val="22"/>
        </w:rPr>
        <w:t>P</w:t>
      </w:r>
      <w:r w:rsidRPr="00BD56BC">
        <w:rPr>
          <w:rFonts w:ascii="Times New Roman" w:hAnsi="Times New Roman"/>
          <w:b/>
          <w:bCs w:val="0"/>
          <w:szCs w:val="22"/>
        </w:rPr>
        <w:t>rofessional Presentations and Outreach Activities</w:t>
      </w:r>
    </w:p>
    <w:p w14:paraId="663A0BC7"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Davidson, K., &amp; Goodrich, B. “Can an Informational Nudge Reduce Temporal Basis Risk in Pasture, Rangeland, and Forage (PRF) Insurance?” Agricultural and Applied Economics Association Annual Meeting, Denver, CO, July 28–30, 2025.</w:t>
      </w:r>
    </w:p>
    <w:p w14:paraId="5BE2BD1D"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Davidson, K., &amp; Schaefer, K. A. “Consumer Response to Tariffs: Political Risk to the Food System?” SCC-76 Economics and Management of Risk in Agriculture and Natural Resources Annual Meeting, Kansas City, MO, March 23–24, 2025.</w:t>
      </w:r>
    </w:p>
    <w:p w14:paraId="247DE9FD"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lastRenderedPageBreak/>
        <w:t xml:space="preserve">Goodrich, B. “Alternative Agriculture Insurance Products.” </w:t>
      </w:r>
      <w:proofErr w:type="spellStart"/>
      <w:r w:rsidRPr="00627FFA">
        <w:rPr>
          <w:rFonts w:ascii="Times New Roman" w:eastAsia="Times New Roman" w:hAnsi="Times New Roman"/>
          <w:bCs w:val="0"/>
          <w:color w:val="auto"/>
          <w:szCs w:val="22"/>
        </w:rPr>
        <w:t>farmdoc</w:t>
      </w:r>
      <w:proofErr w:type="spellEnd"/>
      <w:r w:rsidRPr="00627FFA">
        <w:rPr>
          <w:rFonts w:ascii="Times New Roman" w:eastAsia="Times New Roman" w:hAnsi="Times New Roman"/>
          <w:bCs w:val="0"/>
          <w:color w:val="auto"/>
          <w:szCs w:val="22"/>
        </w:rPr>
        <w:t xml:space="preserve"> Webinar, February 6, 2025. Virtual.</w:t>
      </w:r>
    </w:p>
    <w:p w14:paraId="0D864A55"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 xml:space="preserve">Goodrich, B. “Budgeting as a Risk Management Tool for Agricultural Producers: Partial and Enterprise Analyses.” </w:t>
      </w:r>
      <w:r w:rsidRPr="00627FFA">
        <w:rPr>
          <w:rFonts w:ascii="Times New Roman" w:eastAsia="Times New Roman" w:hAnsi="Times New Roman"/>
          <w:bCs w:val="0"/>
          <w:i/>
          <w:iCs/>
          <w:color w:val="auto"/>
          <w:szCs w:val="22"/>
        </w:rPr>
        <w:t>In Plain Talk Course—Crop and Livestock Insurance and Risk Management Series</w:t>
      </w:r>
      <w:r w:rsidRPr="00627FFA">
        <w:rPr>
          <w:rFonts w:ascii="Times New Roman" w:eastAsia="Times New Roman" w:hAnsi="Times New Roman"/>
          <w:bCs w:val="0"/>
          <w:color w:val="auto"/>
          <w:szCs w:val="22"/>
        </w:rPr>
        <w:t>, Annie’s Project, March 11, 2025. Virtual.</w:t>
      </w:r>
    </w:p>
    <w:p w14:paraId="73DE53ED"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Goodrich, B. “Livestock Price Outlook.” 2025 Farm Assets Conference, Bloomington, IL, December 12, 2025.</w:t>
      </w:r>
    </w:p>
    <w:p w14:paraId="33469C04"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Goodrich, B. “Livestock Price Outlook.” 2025 Illinois Farm Economics Summit, DeKalb, Peoria, and Mt. Vernon, IL, December 15–17, 2025.</w:t>
      </w:r>
    </w:p>
    <w:p w14:paraId="36DC151A"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 xml:space="preserve">Goodrich, B. “Managing Risks in Beekeeping: Understanding the Apiculture Rainfall Index Insurance Program.” </w:t>
      </w:r>
      <w:proofErr w:type="spellStart"/>
      <w:r w:rsidRPr="00627FFA">
        <w:rPr>
          <w:rFonts w:ascii="Times New Roman" w:eastAsia="Times New Roman" w:hAnsi="Times New Roman"/>
          <w:bCs w:val="0"/>
          <w:color w:val="auto"/>
          <w:szCs w:val="22"/>
        </w:rPr>
        <w:t>farmdoc</w:t>
      </w:r>
      <w:proofErr w:type="spellEnd"/>
      <w:r w:rsidRPr="00627FFA">
        <w:rPr>
          <w:rFonts w:ascii="Times New Roman" w:eastAsia="Times New Roman" w:hAnsi="Times New Roman"/>
          <w:bCs w:val="0"/>
          <w:color w:val="auto"/>
          <w:szCs w:val="22"/>
        </w:rPr>
        <w:t xml:space="preserve"> Webinar, October 30, 2025. Virtual.</w:t>
      </w:r>
    </w:p>
    <w:p w14:paraId="34226382"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Goodrich, B. “The Cattle Cycle and Market Outlook.” Orr Beef Field Day, September 10, 2025. Virtual.</w:t>
      </w:r>
    </w:p>
    <w:p w14:paraId="26503CA2"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Goodrich, B. “USDA Insurance Products for Beef Producers.” Heartland Beef Alliance Meeting, Lincoln, IL, January 29, 2025.</w:t>
      </w:r>
    </w:p>
    <w:p w14:paraId="6F32D47C"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Goodrich, B. “Using the Apiculture Rainfall Index Insurance Product as a Risk Management Tool in U.S. Beekeeping Operations.” Heroes to Hives, University of Missouri Extension, July 16, 2025. Virtual.</w:t>
      </w:r>
    </w:p>
    <w:p w14:paraId="0C0E9DC0"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 xml:space="preserve">Goodrich, B. “Using the Apiculture Rainfall Index Insurance Product as a Risk Management Tool in U.S. Beekeeping Operations.” </w:t>
      </w:r>
      <w:r w:rsidRPr="00627FFA">
        <w:rPr>
          <w:rFonts w:ascii="Times New Roman" w:eastAsia="Times New Roman" w:hAnsi="Times New Roman"/>
          <w:bCs w:val="0"/>
          <w:i/>
          <w:iCs/>
          <w:color w:val="auto"/>
          <w:szCs w:val="22"/>
        </w:rPr>
        <w:t>In Plain Talk Webinar Series—Crop and Livestock Insurance and Risk Management Series</w:t>
      </w:r>
      <w:r w:rsidRPr="00627FFA">
        <w:rPr>
          <w:rFonts w:ascii="Times New Roman" w:eastAsia="Times New Roman" w:hAnsi="Times New Roman"/>
          <w:bCs w:val="0"/>
          <w:color w:val="auto"/>
          <w:szCs w:val="22"/>
        </w:rPr>
        <w:t>, Annie’s Project, March 3, 2025. Virtual.</w:t>
      </w:r>
    </w:p>
    <w:p w14:paraId="27C6763D"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 xml:space="preserve">Goodrich, B., &amp; Chalstrom, T. “Interview with University of Illinois’ Brittney Goodrich on the 2025 Almond Pollination Economic Outlook.” </w:t>
      </w:r>
      <w:r w:rsidRPr="00627FFA">
        <w:rPr>
          <w:rFonts w:ascii="Times New Roman" w:eastAsia="Times New Roman" w:hAnsi="Times New Roman"/>
          <w:bCs w:val="0"/>
          <w:i/>
          <w:iCs/>
          <w:color w:val="auto"/>
          <w:szCs w:val="22"/>
        </w:rPr>
        <w:t>My Ag Life Podcast</w:t>
      </w:r>
      <w:r w:rsidRPr="00627FFA">
        <w:rPr>
          <w:rFonts w:ascii="Times New Roman" w:eastAsia="Times New Roman" w:hAnsi="Times New Roman"/>
          <w:bCs w:val="0"/>
          <w:color w:val="auto"/>
          <w:szCs w:val="22"/>
        </w:rPr>
        <w:t>, February 7, 2025. Virtual.</w:t>
      </w:r>
    </w:p>
    <w:p w14:paraId="03B2D170"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Goodrich, B., &amp; Davidson, K. “Livestock Risk Management Education.” 2025 Keystone Farm Show, York, PA, February 7–9, 2025.</w:t>
      </w:r>
    </w:p>
    <w:p w14:paraId="7E196FE7"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 xml:space="preserve">Goodrich, B., &amp; Hammerich, T. “Almond Economics with Brittney Goodrich, Ph.D.” </w:t>
      </w:r>
      <w:r w:rsidRPr="00627FFA">
        <w:rPr>
          <w:rFonts w:ascii="Times New Roman" w:eastAsia="Times New Roman" w:hAnsi="Times New Roman"/>
          <w:bCs w:val="0"/>
          <w:i/>
          <w:iCs/>
          <w:color w:val="auto"/>
          <w:szCs w:val="22"/>
        </w:rPr>
        <w:t>Almond Journey Podcast</w:t>
      </w:r>
      <w:r w:rsidRPr="00627FFA">
        <w:rPr>
          <w:rFonts w:ascii="Times New Roman" w:eastAsia="Times New Roman" w:hAnsi="Times New Roman"/>
          <w:bCs w:val="0"/>
          <w:color w:val="auto"/>
          <w:szCs w:val="22"/>
        </w:rPr>
        <w:t>, July 25, 2025. Virtual.</w:t>
      </w:r>
    </w:p>
    <w:p w14:paraId="30E6F64B"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Goodrich, B., &amp; Penn, J. “</w:t>
      </w:r>
      <w:proofErr w:type="gramStart"/>
      <w:r w:rsidRPr="00627FFA">
        <w:rPr>
          <w:rFonts w:ascii="Times New Roman" w:eastAsia="Times New Roman" w:hAnsi="Times New Roman"/>
          <w:bCs w:val="0"/>
          <w:color w:val="auto"/>
          <w:szCs w:val="22"/>
        </w:rPr>
        <w:t>Insuring</w:t>
      </w:r>
      <w:proofErr w:type="gramEnd"/>
      <w:r w:rsidRPr="00627FFA">
        <w:rPr>
          <w:rFonts w:ascii="Times New Roman" w:eastAsia="Times New Roman" w:hAnsi="Times New Roman"/>
          <w:bCs w:val="0"/>
          <w:color w:val="auto"/>
          <w:szCs w:val="22"/>
        </w:rPr>
        <w:t xml:space="preserve"> Healthy Colonies: Exploring Beekeeper Participation in the Rainfall Index Apiculture Insurance Program.” Presented in the organized symposium “Exploring Effectiveness and Use of Rainfall Index Insurance Programs” at the 2025 Joint AAEA and WAEA Annual Meeting, Denver, CO, 2025.</w:t>
      </w:r>
    </w:p>
    <w:p w14:paraId="27835B03"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 xml:space="preserve">Goodrich, B., Ellis, J., &amp; Vu, A. “Almond Pollination Contracts with Brittney Goodrich.” </w:t>
      </w:r>
      <w:r w:rsidRPr="00627FFA">
        <w:rPr>
          <w:rFonts w:ascii="Times New Roman" w:eastAsia="Times New Roman" w:hAnsi="Times New Roman"/>
          <w:bCs w:val="0"/>
          <w:i/>
          <w:iCs/>
          <w:color w:val="auto"/>
          <w:szCs w:val="22"/>
        </w:rPr>
        <w:t>Two Bees in a Podcast</w:t>
      </w:r>
      <w:r w:rsidRPr="00627FFA">
        <w:rPr>
          <w:rFonts w:ascii="Times New Roman" w:eastAsia="Times New Roman" w:hAnsi="Times New Roman"/>
          <w:bCs w:val="0"/>
          <w:color w:val="auto"/>
          <w:szCs w:val="22"/>
        </w:rPr>
        <w:t>, June 3, 2025. Virtual.</w:t>
      </w:r>
    </w:p>
    <w:p w14:paraId="75474BAB"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Miao, R. “Effects of Heat Stress across the U.S. Farm Profitability Distribution.” Department of Economics Seminar, University of Oklahoma, Norman, OK, March 9, 2026.</w:t>
      </w:r>
    </w:p>
    <w:p w14:paraId="4B2EC732"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Shrestha, M., Davidson, K., &amp; Palm-Forster, L. “Role of Economics and Time on Farmer Adoption of In-Season Nitrogen Modeling Tools.” Northeastern Agricultural and Resource Economics Association Annual Meeting, Burlington, VT, June 8–11, 2025.</w:t>
      </w:r>
    </w:p>
    <w:p w14:paraId="5C9CAE8A" w14:textId="77777777" w:rsidR="00AD2440" w:rsidRPr="00627FFA" w:rsidRDefault="00AD2440" w:rsidP="00AD2440">
      <w:pPr>
        <w:spacing w:after="0" w:line="240" w:lineRule="auto"/>
        <w:ind w:left="360"/>
        <w:rPr>
          <w:rFonts w:ascii="Times New Roman" w:eastAsia="Times New Roman" w:hAnsi="Times New Roman"/>
          <w:bCs w:val="0"/>
          <w:color w:val="auto"/>
          <w:szCs w:val="22"/>
        </w:rPr>
      </w:pPr>
      <w:r w:rsidRPr="00627FFA">
        <w:rPr>
          <w:rFonts w:ascii="Times New Roman" w:eastAsia="Times New Roman" w:hAnsi="Times New Roman"/>
          <w:bCs w:val="0"/>
          <w:color w:val="auto"/>
          <w:szCs w:val="22"/>
        </w:rPr>
        <w:t>“Can an Informational Nudge Reduce Temporal Basis Risk in Pasture, Rangeland, and Forage (PRF) Insurance?” Department of Agriculture, Food and Resource Economics Seminar, Michigan State University, East Lansing, MI, December 5, 2025.</w:t>
      </w:r>
    </w:p>
    <w:p w14:paraId="01E0DB20" w14:textId="77777777" w:rsidR="00AD2440" w:rsidRPr="00BD56BC" w:rsidRDefault="00AD2440" w:rsidP="00AD2440">
      <w:pPr>
        <w:spacing w:after="0" w:line="240" w:lineRule="auto"/>
        <w:ind w:left="360"/>
        <w:rPr>
          <w:rFonts w:ascii="Times New Roman" w:eastAsiaTheme="minorEastAsia" w:hAnsi="Times New Roman" w:hint="eastAsia"/>
          <w:bCs w:val="0"/>
          <w:color w:val="auto"/>
          <w:szCs w:val="22"/>
        </w:rPr>
      </w:pPr>
      <w:r w:rsidRPr="00627FFA">
        <w:rPr>
          <w:rFonts w:ascii="Times New Roman" w:eastAsia="Times New Roman" w:hAnsi="Times New Roman"/>
          <w:bCs w:val="0"/>
          <w:color w:val="auto"/>
          <w:szCs w:val="22"/>
        </w:rPr>
        <w:t>Zhang, Y., &amp; Brorsen, B. W. “Combining Spatial and Time Series Information to Rate Crop Insurance.” Selected paper presentation at the Agricultural and Applied Economics Association Annual Meeting, Denver, CO, 2025.</w:t>
      </w:r>
    </w:p>
    <w:p w14:paraId="3E428AD8" w14:textId="77777777" w:rsidR="00DF4632" w:rsidRDefault="00DF4632"/>
    <w:sectPr w:rsidR="00DF4632" w:rsidSect="00AD2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YwtTQwNza0tDC1MDFT0lEKTi0uzszPAykwrAUAjYLB1iwAAAA="/>
  </w:docVars>
  <w:rsids>
    <w:rsidRoot w:val="00AD2440"/>
    <w:rsid w:val="000502A8"/>
    <w:rsid w:val="001173C6"/>
    <w:rsid w:val="00166D1E"/>
    <w:rsid w:val="003401B0"/>
    <w:rsid w:val="00396603"/>
    <w:rsid w:val="003E33C7"/>
    <w:rsid w:val="004C5C8D"/>
    <w:rsid w:val="006B37A2"/>
    <w:rsid w:val="008D281F"/>
    <w:rsid w:val="008F52CC"/>
    <w:rsid w:val="009710EE"/>
    <w:rsid w:val="009D4000"/>
    <w:rsid w:val="00A3750A"/>
    <w:rsid w:val="00AD2440"/>
    <w:rsid w:val="00BA5F48"/>
    <w:rsid w:val="00DF4632"/>
    <w:rsid w:val="00EF4360"/>
    <w:rsid w:val="00F21F1E"/>
    <w:rsid w:val="00F81831"/>
    <w:rsid w:val="00FD3553"/>
    <w:rsid w:val="00FD79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D106"/>
  <w15:chartTrackingRefBased/>
  <w15:docId w15:val="{2FBF45C1-A04F-4E34-897C-26F31088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bCs/>
        <w:color w:val="000000" w:themeColor="text1"/>
        <w:sz w:val="22"/>
        <w:szCs w:val="27"/>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440"/>
  </w:style>
  <w:style w:type="paragraph" w:styleId="Heading1">
    <w:name w:val="heading 1"/>
    <w:basedOn w:val="Normal"/>
    <w:next w:val="Normal"/>
    <w:link w:val="Heading1Char"/>
    <w:uiPriority w:val="9"/>
    <w:qFormat/>
    <w:rsid w:val="00AD2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4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4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24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24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24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24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24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4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4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24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24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24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24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24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244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D244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D24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4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2440"/>
    <w:pPr>
      <w:spacing w:before="160"/>
      <w:jc w:val="center"/>
    </w:pPr>
    <w:rPr>
      <w:i/>
      <w:iCs/>
      <w:color w:val="404040" w:themeColor="text1" w:themeTint="BF"/>
    </w:rPr>
  </w:style>
  <w:style w:type="character" w:customStyle="1" w:styleId="QuoteChar">
    <w:name w:val="Quote Char"/>
    <w:basedOn w:val="DefaultParagraphFont"/>
    <w:link w:val="Quote"/>
    <w:uiPriority w:val="29"/>
    <w:rsid w:val="00AD2440"/>
    <w:rPr>
      <w:i/>
      <w:iCs/>
      <w:color w:val="404040" w:themeColor="text1" w:themeTint="BF"/>
    </w:rPr>
  </w:style>
  <w:style w:type="paragraph" w:styleId="ListParagraph">
    <w:name w:val="List Paragraph"/>
    <w:basedOn w:val="Normal"/>
    <w:uiPriority w:val="34"/>
    <w:qFormat/>
    <w:rsid w:val="00AD2440"/>
    <w:pPr>
      <w:ind w:left="720"/>
      <w:contextualSpacing/>
    </w:pPr>
  </w:style>
  <w:style w:type="character" w:styleId="IntenseEmphasis">
    <w:name w:val="Intense Emphasis"/>
    <w:basedOn w:val="DefaultParagraphFont"/>
    <w:uiPriority w:val="21"/>
    <w:qFormat/>
    <w:rsid w:val="00AD2440"/>
    <w:rPr>
      <w:i/>
      <w:iCs/>
      <w:color w:val="0F4761" w:themeColor="accent1" w:themeShade="BF"/>
    </w:rPr>
  </w:style>
  <w:style w:type="paragraph" w:styleId="IntenseQuote">
    <w:name w:val="Intense Quote"/>
    <w:basedOn w:val="Normal"/>
    <w:next w:val="Normal"/>
    <w:link w:val="IntenseQuoteChar"/>
    <w:uiPriority w:val="30"/>
    <w:qFormat/>
    <w:rsid w:val="00AD2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440"/>
    <w:rPr>
      <w:i/>
      <w:iCs/>
      <w:color w:val="0F4761" w:themeColor="accent1" w:themeShade="BF"/>
    </w:rPr>
  </w:style>
  <w:style w:type="character" w:styleId="IntenseReference">
    <w:name w:val="Intense Reference"/>
    <w:basedOn w:val="DefaultParagraphFont"/>
    <w:uiPriority w:val="32"/>
    <w:qFormat/>
    <w:rsid w:val="00AD2440"/>
    <w:rPr>
      <w:b/>
      <w:bCs w:val="0"/>
      <w:smallCaps/>
      <w:color w:val="0F4761" w:themeColor="accent1" w:themeShade="BF"/>
      <w:spacing w:val="5"/>
    </w:rPr>
  </w:style>
  <w:style w:type="paragraph" w:styleId="NormalWeb">
    <w:name w:val="Normal (Web)"/>
    <w:basedOn w:val="Normal"/>
    <w:uiPriority w:val="99"/>
    <w:semiHidden/>
    <w:unhideWhenUsed/>
    <w:rsid w:val="00AD2440"/>
    <w:pPr>
      <w:spacing w:before="100" w:beforeAutospacing="1" w:after="100" w:afterAutospacing="1" w:line="240" w:lineRule="auto"/>
    </w:pPr>
    <w:rPr>
      <w:rFonts w:ascii="Times New Roman" w:eastAsia="Times New Roman" w:hAnsi="Times New Roman"/>
      <w:bCs w:val="0"/>
      <w:color w:val="auto"/>
      <w:sz w:val="24"/>
      <w:szCs w:val="24"/>
    </w:rPr>
  </w:style>
  <w:style w:type="character" w:styleId="Emphasis">
    <w:name w:val="Emphasis"/>
    <w:basedOn w:val="DefaultParagraphFont"/>
    <w:uiPriority w:val="20"/>
    <w:qFormat/>
    <w:rsid w:val="00AD24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Sunjae Won</dc:creator>
  <cp:keywords/>
  <dc:description/>
  <cp:lastModifiedBy>Sunjae Won</cp:lastModifiedBy>
  <cp:revision>1</cp:revision>
  <dcterms:created xsi:type="dcterms:W3CDTF">2026-05-21T17:44:00Z</dcterms:created>
  <dcterms:modified xsi:type="dcterms:W3CDTF">2026-05-21T17:45:00Z</dcterms:modified>
</cp:coreProperties>
</file>