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D5CB" w14:textId="7CBCAA22" w:rsidR="00B71D9E" w:rsidRPr="00B71D9E" w:rsidRDefault="00B71D9E" w:rsidP="00652D2E">
      <w:pPr>
        <w:rPr>
          <w:sz w:val="28"/>
          <w:szCs w:val="28"/>
          <w:u w:val="single"/>
        </w:rPr>
      </w:pPr>
      <w:r w:rsidRPr="00B71D9E">
        <w:rPr>
          <w:sz w:val="28"/>
          <w:szCs w:val="28"/>
          <w:u w:val="single"/>
        </w:rPr>
        <w:t>Minutes of SAC7 Annual Meeting</w:t>
      </w:r>
      <w:r>
        <w:rPr>
          <w:sz w:val="28"/>
          <w:szCs w:val="28"/>
          <w:u w:val="single"/>
        </w:rPr>
        <w:t xml:space="preserve"> - </w:t>
      </w:r>
      <w:r w:rsidRPr="00B71D9E">
        <w:rPr>
          <w:sz w:val="28"/>
          <w:szCs w:val="28"/>
          <w:u w:val="single"/>
        </w:rPr>
        <w:t>2026</w:t>
      </w:r>
    </w:p>
    <w:p w14:paraId="0FCE0EED" w14:textId="6247B1A0" w:rsidR="00652D2E" w:rsidRPr="00652D2E" w:rsidRDefault="00652D2E" w:rsidP="00652D2E">
      <w:r w:rsidRPr="00652D2E">
        <w:t xml:space="preserve">The </w:t>
      </w:r>
      <w:r w:rsidR="00B71D9E">
        <w:t xml:space="preserve">SAC7 </w:t>
      </w:r>
      <w:r w:rsidRPr="00652D2E">
        <w:t>202</w:t>
      </w:r>
      <w:r w:rsidR="005C7CD4">
        <w:t>6</w:t>
      </w:r>
      <w:r w:rsidRPr="00652D2E">
        <w:t xml:space="preserve"> annual meeting was held February </w:t>
      </w:r>
      <w:r w:rsidR="006D0080">
        <w:t>1</w:t>
      </w:r>
      <w:r w:rsidRPr="00652D2E">
        <w:t>, 202</w:t>
      </w:r>
      <w:r w:rsidR="006D0080">
        <w:t>6</w:t>
      </w:r>
      <w:r w:rsidRPr="00652D2E">
        <w:t xml:space="preserve">, at the Southern Agricultural Economics Association Meeting in </w:t>
      </w:r>
      <w:r w:rsidR="00941F8C">
        <w:t>Louisville, KY</w:t>
      </w:r>
      <w:r w:rsidRPr="00652D2E">
        <w:t xml:space="preserve">. In attendance were </w:t>
      </w:r>
      <w:r w:rsidR="00A829B7" w:rsidRPr="00652D2E">
        <w:t>ag econ program</w:t>
      </w:r>
      <w:r w:rsidR="00A829B7">
        <w:t xml:space="preserve"> </w:t>
      </w:r>
      <w:r w:rsidRPr="00652D2E">
        <w:t xml:space="preserve">Chairs/Heads or representatives from: Auburn, Arkansas, </w:t>
      </w:r>
      <w:r w:rsidR="00FA5EAF" w:rsidRPr="00652D2E">
        <w:t>Tennessee-Knoxville, Florida</w:t>
      </w:r>
      <w:r w:rsidR="00FA5EAF">
        <w:t xml:space="preserve">, </w:t>
      </w:r>
      <w:r>
        <w:t xml:space="preserve">Kentucky, </w:t>
      </w:r>
      <w:r w:rsidR="00FA5EAF">
        <w:t xml:space="preserve">New Mexico State, </w:t>
      </w:r>
      <w:r>
        <w:t>and</w:t>
      </w:r>
      <w:r w:rsidR="00FA5EAF" w:rsidRPr="00FA5EAF">
        <w:t xml:space="preserve"> </w:t>
      </w:r>
      <w:r w:rsidR="00FA5EAF">
        <w:t>Louisiana State.</w:t>
      </w:r>
      <w:r w:rsidRPr="00652D2E">
        <w:t xml:space="preserve"> The meeting was chaired by </w:t>
      </w:r>
      <w:r w:rsidR="00FA5EAF">
        <w:t>Lynn Kennedy</w:t>
      </w:r>
      <w:r w:rsidR="009E5D4B">
        <w:t>, LSU</w:t>
      </w:r>
      <w:r w:rsidRPr="00652D2E">
        <w:t>.</w:t>
      </w:r>
      <w:r w:rsidR="00F164C5">
        <w:t xml:space="preserve"> Lanier Nalley, University of Arkansas, </w:t>
      </w:r>
      <w:r w:rsidR="009E5D4B">
        <w:t>was elected and agreed</w:t>
      </w:r>
      <w:r w:rsidR="00F164C5">
        <w:t xml:space="preserve"> to serve as Chair for the</w:t>
      </w:r>
      <w:r w:rsidR="009E5D4B">
        <w:t xml:space="preserve"> upcoming term.</w:t>
      </w:r>
    </w:p>
    <w:p w14:paraId="1DC7BF66" w14:textId="77777777" w:rsidR="00652D2E" w:rsidRPr="00652D2E" w:rsidRDefault="00652D2E" w:rsidP="00652D2E">
      <w:r w:rsidRPr="00652D2E">
        <w:t>Discussion at the meeting included topics such as:</w:t>
      </w:r>
    </w:p>
    <w:p w14:paraId="7852E10D" w14:textId="6C8F87BD" w:rsidR="00652D2E" w:rsidRDefault="00652D2E" w:rsidP="00F50802">
      <w:pPr>
        <w:numPr>
          <w:ilvl w:val="0"/>
          <w:numId w:val="1"/>
        </w:numPr>
      </w:pPr>
      <w:r w:rsidRPr="00652D2E">
        <w:t>Undergraduate and graduate programming within departments</w:t>
      </w:r>
      <w:r>
        <w:t xml:space="preserve">. </w:t>
      </w:r>
      <w:r w:rsidRPr="00652D2E">
        <w:t>Trends in student numbers at the graduate and undergraduate level</w:t>
      </w:r>
      <w:r>
        <w:t>, including a discussion about recruiting students at both levels.</w:t>
      </w:r>
    </w:p>
    <w:p w14:paraId="7C372DF2" w14:textId="28F673B2" w:rsidR="003C51A7" w:rsidRPr="00652D2E" w:rsidRDefault="003C51A7" w:rsidP="00F50802">
      <w:pPr>
        <w:numPr>
          <w:ilvl w:val="0"/>
          <w:numId w:val="1"/>
        </w:numPr>
      </w:pPr>
      <w:r>
        <w:t>Funding issues.</w:t>
      </w:r>
    </w:p>
    <w:p w14:paraId="2C950D0F" w14:textId="3605F649" w:rsidR="00652D2E" w:rsidRPr="00652D2E" w:rsidRDefault="00652D2E" w:rsidP="00B456E2">
      <w:pPr>
        <w:numPr>
          <w:ilvl w:val="0"/>
          <w:numId w:val="1"/>
        </w:numPr>
      </w:pPr>
      <w:r w:rsidRPr="00652D2E">
        <w:t>202</w:t>
      </w:r>
      <w:r w:rsidR="00AD4858">
        <w:t>4</w:t>
      </w:r>
      <w:r w:rsidRPr="00652D2E">
        <w:t>-2</w:t>
      </w:r>
      <w:r w:rsidR="00AD4858">
        <w:t>5</w:t>
      </w:r>
      <w:r w:rsidRPr="00652D2E">
        <w:t xml:space="preserve"> faculty hiring plans/challenges/successes. </w:t>
      </w:r>
    </w:p>
    <w:p w14:paraId="3ABD0B25" w14:textId="4509618C" w:rsidR="00652D2E" w:rsidRDefault="003C51A7" w:rsidP="00652D2E">
      <w:pPr>
        <w:numPr>
          <w:ilvl w:val="0"/>
          <w:numId w:val="1"/>
        </w:numPr>
      </w:pPr>
      <w:r>
        <w:t>Distance education and online programs</w:t>
      </w:r>
      <w:r w:rsidR="00652D2E">
        <w:t>.</w:t>
      </w:r>
    </w:p>
    <w:p w14:paraId="0D212287" w14:textId="77777777" w:rsidR="00DD6EF7" w:rsidRDefault="00652D2E" w:rsidP="00DD6EF7">
      <w:pPr>
        <w:numPr>
          <w:ilvl w:val="0"/>
          <w:numId w:val="1"/>
        </w:numPr>
      </w:pPr>
      <w:r>
        <w:t>Minimum stipends for graduate students</w:t>
      </w:r>
      <w:r w:rsidR="00F00F5B">
        <w:t xml:space="preserve">; </w:t>
      </w:r>
      <w:r>
        <w:t>challenges recruiting students</w:t>
      </w:r>
      <w:r w:rsidR="00F00F5B">
        <w:t>; and other graduate admissions challenges</w:t>
      </w:r>
      <w:r>
        <w:t>.</w:t>
      </w:r>
    </w:p>
    <w:p w14:paraId="52D4ACBC" w14:textId="5A15B081" w:rsidR="00652D2E" w:rsidRDefault="00652D2E" w:rsidP="00014F10">
      <w:r w:rsidRPr="00652D2E">
        <w:t>State reports were submitted on undergraduate and graduate student enrollment, faculty numbers (all numbers are estimates).  Note that some departments also have non-agricultural-economics degrees, so the numbers are not necessarily comparable.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52D2E" w14:paraId="297AD4A8" w14:textId="77777777" w:rsidTr="00652D2E">
        <w:tc>
          <w:tcPr>
            <w:tcW w:w="2337" w:type="dxa"/>
          </w:tcPr>
          <w:p w14:paraId="13D0A12F" w14:textId="4B12EA6D" w:rsidR="00652D2E" w:rsidRDefault="00652D2E" w:rsidP="00652D2E">
            <w:r>
              <w:t>School</w:t>
            </w:r>
          </w:p>
        </w:tc>
        <w:tc>
          <w:tcPr>
            <w:tcW w:w="2337" w:type="dxa"/>
          </w:tcPr>
          <w:p w14:paraId="45C43E3F" w14:textId="607EF16B" w:rsidR="00652D2E" w:rsidRDefault="00652D2E" w:rsidP="00652D2E">
            <w:r>
              <w:t>Approximate number of undergraduate students</w:t>
            </w:r>
          </w:p>
        </w:tc>
        <w:tc>
          <w:tcPr>
            <w:tcW w:w="2338" w:type="dxa"/>
          </w:tcPr>
          <w:p w14:paraId="1494DD3E" w14:textId="2282A71B" w:rsidR="00652D2E" w:rsidRDefault="00652D2E" w:rsidP="00652D2E">
            <w:r>
              <w:t>Approximate number of graduate students</w:t>
            </w:r>
          </w:p>
        </w:tc>
        <w:tc>
          <w:tcPr>
            <w:tcW w:w="2338" w:type="dxa"/>
          </w:tcPr>
          <w:p w14:paraId="2DF84BA5" w14:textId="43A7A9F2" w:rsidR="00652D2E" w:rsidRDefault="00652D2E" w:rsidP="00652D2E">
            <w:r>
              <w:t>Number of faculty (including current hiring)</w:t>
            </w:r>
          </w:p>
        </w:tc>
      </w:tr>
      <w:tr w:rsidR="0059128B" w14:paraId="5038804F" w14:textId="77777777" w:rsidTr="00652D2E">
        <w:tc>
          <w:tcPr>
            <w:tcW w:w="2337" w:type="dxa"/>
          </w:tcPr>
          <w:p w14:paraId="3D92597C" w14:textId="514FD6AF" w:rsidR="0059128B" w:rsidRDefault="0059128B" w:rsidP="00652D2E">
            <w:r>
              <w:t>Arkansas</w:t>
            </w:r>
          </w:p>
        </w:tc>
        <w:tc>
          <w:tcPr>
            <w:tcW w:w="2337" w:type="dxa"/>
          </w:tcPr>
          <w:p w14:paraId="327FC742" w14:textId="2E4DD800" w:rsidR="0059128B" w:rsidRPr="00C40329" w:rsidRDefault="00C40329" w:rsidP="00652D2E">
            <w:r w:rsidRPr="00C40329">
              <w:t>405</w:t>
            </w:r>
          </w:p>
        </w:tc>
        <w:tc>
          <w:tcPr>
            <w:tcW w:w="2338" w:type="dxa"/>
          </w:tcPr>
          <w:p w14:paraId="6B0C0751" w14:textId="556F730D" w:rsidR="0059128B" w:rsidRPr="00C40329" w:rsidRDefault="00C40329" w:rsidP="00652D2E">
            <w:r w:rsidRPr="00C40329">
              <w:t>43</w:t>
            </w:r>
          </w:p>
        </w:tc>
        <w:tc>
          <w:tcPr>
            <w:tcW w:w="2338" w:type="dxa"/>
          </w:tcPr>
          <w:p w14:paraId="47818E2F" w14:textId="045E127F" w:rsidR="0059128B" w:rsidRPr="00C40329" w:rsidRDefault="00C40329" w:rsidP="00652D2E">
            <w:r w:rsidRPr="00C40329">
              <w:t>24</w:t>
            </w:r>
          </w:p>
        </w:tc>
      </w:tr>
      <w:tr w:rsidR="006F3A9E" w14:paraId="7F416A94" w14:textId="77777777" w:rsidTr="00652D2E">
        <w:tc>
          <w:tcPr>
            <w:tcW w:w="2337" w:type="dxa"/>
          </w:tcPr>
          <w:p w14:paraId="0981D7F9" w14:textId="144F9FF3" w:rsidR="006F3A9E" w:rsidRDefault="006F3A9E" w:rsidP="00652D2E">
            <w:r>
              <w:t>Auburn</w:t>
            </w:r>
          </w:p>
        </w:tc>
        <w:tc>
          <w:tcPr>
            <w:tcW w:w="2337" w:type="dxa"/>
          </w:tcPr>
          <w:p w14:paraId="554711BF" w14:textId="6EA7D1E6" w:rsidR="006F3A9E" w:rsidRPr="003C0167" w:rsidRDefault="003C0167" w:rsidP="00652D2E">
            <w:r w:rsidRPr="003C0167">
              <w:t>180</w:t>
            </w:r>
          </w:p>
        </w:tc>
        <w:tc>
          <w:tcPr>
            <w:tcW w:w="2338" w:type="dxa"/>
          </w:tcPr>
          <w:p w14:paraId="22809F42" w14:textId="5B734BB9" w:rsidR="006F3A9E" w:rsidRPr="003C0167" w:rsidRDefault="003C0167" w:rsidP="00652D2E">
            <w:r w:rsidRPr="003C0167">
              <w:t>30</w:t>
            </w:r>
          </w:p>
        </w:tc>
        <w:tc>
          <w:tcPr>
            <w:tcW w:w="2338" w:type="dxa"/>
          </w:tcPr>
          <w:p w14:paraId="3B6A7CC5" w14:textId="4E35CA79" w:rsidR="006F3A9E" w:rsidRPr="003C0167" w:rsidRDefault="006F3A9E" w:rsidP="00652D2E">
            <w:r w:rsidRPr="003C0167">
              <w:t>18</w:t>
            </w:r>
          </w:p>
        </w:tc>
      </w:tr>
      <w:tr w:rsidR="005F58B7" w14:paraId="5FDBA163" w14:textId="77777777" w:rsidTr="00652D2E">
        <w:tc>
          <w:tcPr>
            <w:tcW w:w="2337" w:type="dxa"/>
          </w:tcPr>
          <w:p w14:paraId="6530239C" w14:textId="63DF9CFB" w:rsidR="005F58B7" w:rsidRDefault="005F58B7" w:rsidP="00652D2E">
            <w:r>
              <w:t>Clemson</w:t>
            </w:r>
          </w:p>
        </w:tc>
        <w:tc>
          <w:tcPr>
            <w:tcW w:w="2337" w:type="dxa"/>
          </w:tcPr>
          <w:p w14:paraId="02D2FD0E" w14:textId="0D081B95" w:rsidR="005F58B7" w:rsidRPr="00A320B3" w:rsidRDefault="00A320B3" w:rsidP="00652D2E">
            <w:r w:rsidRPr="00A320B3">
              <w:t>135</w:t>
            </w:r>
          </w:p>
        </w:tc>
        <w:tc>
          <w:tcPr>
            <w:tcW w:w="2338" w:type="dxa"/>
          </w:tcPr>
          <w:p w14:paraId="7342AC58" w14:textId="28C510B2" w:rsidR="005F58B7" w:rsidRPr="00A320B3" w:rsidRDefault="005F58B7" w:rsidP="00652D2E">
            <w:r w:rsidRPr="00A320B3">
              <w:t>8</w:t>
            </w:r>
          </w:p>
        </w:tc>
        <w:tc>
          <w:tcPr>
            <w:tcW w:w="2338" w:type="dxa"/>
          </w:tcPr>
          <w:p w14:paraId="5FDA96E4" w14:textId="441D793A" w:rsidR="005F58B7" w:rsidRPr="00A320B3" w:rsidRDefault="005F58B7" w:rsidP="00652D2E">
            <w:r w:rsidRPr="00A320B3">
              <w:t>10</w:t>
            </w:r>
          </w:p>
        </w:tc>
      </w:tr>
      <w:tr w:rsidR="00652D2E" w14:paraId="14C880D3" w14:textId="77777777" w:rsidTr="00652D2E">
        <w:tc>
          <w:tcPr>
            <w:tcW w:w="2337" w:type="dxa"/>
          </w:tcPr>
          <w:p w14:paraId="683CF118" w14:textId="49DC70C9" w:rsidR="00652D2E" w:rsidRDefault="00652D2E" w:rsidP="00652D2E">
            <w:r>
              <w:t>Florida</w:t>
            </w:r>
          </w:p>
        </w:tc>
        <w:tc>
          <w:tcPr>
            <w:tcW w:w="2337" w:type="dxa"/>
          </w:tcPr>
          <w:p w14:paraId="04FA0B2D" w14:textId="3B5E352B" w:rsidR="00652D2E" w:rsidRPr="001767A1" w:rsidRDefault="001767A1" w:rsidP="00652D2E">
            <w:r w:rsidRPr="001767A1">
              <w:t>200</w:t>
            </w:r>
          </w:p>
        </w:tc>
        <w:tc>
          <w:tcPr>
            <w:tcW w:w="2338" w:type="dxa"/>
          </w:tcPr>
          <w:p w14:paraId="078B6E94" w14:textId="4FB6D0AB" w:rsidR="00652D2E" w:rsidRPr="001767A1" w:rsidRDefault="001767A1" w:rsidP="00652D2E">
            <w:r w:rsidRPr="001767A1">
              <w:t>60</w:t>
            </w:r>
          </w:p>
        </w:tc>
        <w:tc>
          <w:tcPr>
            <w:tcW w:w="2338" w:type="dxa"/>
          </w:tcPr>
          <w:p w14:paraId="0B1DE435" w14:textId="77663002" w:rsidR="00652D2E" w:rsidRPr="001767A1" w:rsidRDefault="004D3141" w:rsidP="00652D2E">
            <w:r w:rsidRPr="001767A1">
              <w:t>40</w:t>
            </w:r>
          </w:p>
        </w:tc>
      </w:tr>
      <w:tr w:rsidR="00652D2E" w14:paraId="5721B1E9" w14:textId="77777777" w:rsidTr="00652D2E">
        <w:tc>
          <w:tcPr>
            <w:tcW w:w="2337" w:type="dxa"/>
          </w:tcPr>
          <w:p w14:paraId="6B02E1A3" w14:textId="187D5466" w:rsidR="00652D2E" w:rsidRDefault="004D3141" w:rsidP="00652D2E">
            <w:r>
              <w:t>Georgia</w:t>
            </w:r>
          </w:p>
        </w:tc>
        <w:tc>
          <w:tcPr>
            <w:tcW w:w="2337" w:type="dxa"/>
          </w:tcPr>
          <w:p w14:paraId="689712E3" w14:textId="13DC4DB8" w:rsidR="00652D2E" w:rsidRPr="00074D32" w:rsidRDefault="00074D32" w:rsidP="00652D2E">
            <w:r w:rsidRPr="00074D32">
              <w:t>396</w:t>
            </w:r>
          </w:p>
        </w:tc>
        <w:tc>
          <w:tcPr>
            <w:tcW w:w="2338" w:type="dxa"/>
          </w:tcPr>
          <w:p w14:paraId="06BC853B" w14:textId="6F915C2B" w:rsidR="00652D2E" w:rsidRPr="00074D32" w:rsidRDefault="00074D32" w:rsidP="00652D2E">
            <w:r w:rsidRPr="00074D32">
              <w:t>89</w:t>
            </w:r>
          </w:p>
        </w:tc>
        <w:tc>
          <w:tcPr>
            <w:tcW w:w="2338" w:type="dxa"/>
          </w:tcPr>
          <w:p w14:paraId="094FD817" w14:textId="43CF56C3" w:rsidR="00652D2E" w:rsidRPr="00074D32" w:rsidRDefault="00074D32" w:rsidP="00652D2E">
            <w:r w:rsidRPr="00074D32">
              <w:t>30</w:t>
            </w:r>
            <w:r w:rsidR="004D3141" w:rsidRPr="00074D32">
              <w:t xml:space="preserve"> </w:t>
            </w:r>
          </w:p>
        </w:tc>
      </w:tr>
      <w:tr w:rsidR="004D3141" w14:paraId="5E378A1F" w14:textId="77777777" w:rsidTr="00652D2E">
        <w:tc>
          <w:tcPr>
            <w:tcW w:w="2337" w:type="dxa"/>
          </w:tcPr>
          <w:p w14:paraId="42B32364" w14:textId="41787D5A" w:rsidR="004D3141" w:rsidRDefault="004D3141" w:rsidP="004D3141">
            <w:r>
              <w:t>Kentucky</w:t>
            </w:r>
          </w:p>
        </w:tc>
        <w:tc>
          <w:tcPr>
            <w:tcW w:w="2337" w:type="dxa"/>
          </w:tcPr>
          <w:p w14:paraId="6D6194CF" w14:textId="5421B921" w:rsidR="004D3141" w:rsidRPr="004D076F" w:rsidRDefault="00E80186" w:rsidP="004D3141">
            <w:r w:rsidRPr="004D076F">
              <w:t>149</w:t>
            </w:r>
          </w:p>
        </w:tc>
        <w:tc>
          <w:tcPr>
            <w:tcW w:w="2338" w:type="dxa"/>
          </w:tcPr>
          <w:p w14:paraId="5396AF1A" w14:textId="2C800D6D" w:rsidR="004D3141" w:rsidRPr="004D076F" w:rsidRDefault="00E80186" w:rsidP="004D3141">
            <w:r w:rsidRPr="004D076F">
              <w:t>19</w:t>
            </w:r>
          </w:p>
        </w:tc>
        <w:tc>
          <w:tcPr>
            <w:tcW w:w="2338" w:type="dxa"/>
          </w:tcPr>
          <w:p w14:paraId="56C8537B" w14:textId="0DF2DCAE" w:rsidR="004D3141" w:rsidRPr="004D076F" w:rsidRDefault="004D076F" w:rsidP="004D3141">
            <w:r w:rsidRPr="004D076F">
              <w:t>23</w:t>
            </w:r>
          </w:p>
        </w:tc>
      </w:tr>
      <w:tr w:rsidR="00041CC1" w14:paraId="453D7C9E" w14:textId="77777777" w:rsidTr="00652D2E">
        <w:tc>
          <w:tcPr>
            <w:tcW w:w="2337" w:type="dxa"/>
          </w:tcPr>
          <w:p w14:paraId="09B14676" w14:textId="45C01026" w:rsidR="00041CC1" w:rsidRDefault="00041CC1" w:rsidP="004D3141">
            <w:r>
              <w:t>LSU</w:t>
            </w:r>
          </w:p>
        </w:tc>
        <w:tc>
          <w:tcPr>
            <w:tcW w:w="2337" w:type="dxa"/>
          </w:tcPr>
          <w:p w14:paraId="70E8DBF4" w14:textId="5A6CCA54" w:rsidR="00041CC1" w:rsidRPr="004D076F" w:rsidRDefault="00041CC1" w:rsidP="004D3141">
            <w:r>
              <w:t>185</w:t>
            </w:r>
          </w:p>
        </w:tc>
        <w:tc>
          <w:tcPr>
            <w:tcW w:w="2338" w:type="dxa"/>
          </w:tcPr>
          <w:p w14:paraId="304B1D99" w14:textId="450B2A9D" w:rsidR="00041CC1" w:rsidRPr="004D076F" w:rsidRDefault="00041CC1" w:rsidP="004D3141">
            <w:r>
              <w:t>20</w:t>
            </w:r>
          </w:p>
        </w:tc>
        <w:tc>
          <w:tcPr>
            <w:tcW w:w="2338" w:type="dxa"/>
          </w:tcPr>
          <w:p w14:paraId="4CBB3718" w14:textId="2D302C53" w:rsidR="00041CC1" w:rsidRPr="004D076F" w:rsidRDefault="008758F9" w:rsidP="004D3141">
            <w:r>
              <w:t>15</w:t>
            </w:r>
          </w:p>
        </w:tc>
      </w:tr>
      <w:tr w:rsidR="004D3141" w14:paraId="057A43B8" w14:textId="77777777" w:rsidTr="00652D2E">
        <w:tc>
          <w:tcPr>
            <w:tcW w:w="2337" w:type="dxa"/>
          </w:tcPr>
          <w:p w14:paraId="13BAAB72" w14:textId="1AE238AF" w:rsidR="004D3141" w:rsidRDefault="004D3141" w:rsidP="004D3141">
            <w:r>
              <w:t>NC State University</w:t>
            </w:r>
          </w:p>
        </w:tc>
        <w:tc>
          <w:tcPr>
            <w:tcW w:w="2337" w:type="dxa"/>
          </w:tcPr>
          <w:p w14:paraId="7B4FE244" w14:textId="357A691C" w:rsidR="004D3141" w:rsidRPr="00B1443A" w:rsidRDefault="00B1443A" w:rsidP="004D3141">
            <w:r w:rsidRPr="00B1443A">
              <w:t>700</w:t>
            </w:r>
          </w:p>
        </w:tc>
        <w:tc>
          <w:tcPr>
            <w:tcW w:w="2338" w:type="dxa"/>
          </w:tcPr>
          <w:p w14:paraId="42A85133" w14:textId="65D159FE" w:rsidR="004D3141" w:rsidRPr="00B1443A" w:rsidRDefault="00B1443A" w:rsidP="004D3141">
            <w:r w:rsidRPr="00B1443A">
              <w:t>90</w:t>
            </w:r>
          </w:p>
        </w:tc>
        <w:tc>
          <w:tcPr>
            <w:tcW w:w="2338" w:type="dxa"/>
          </w:tcPr>
          <w:p w14:paraId="4E3FED2A" w14:textId="6212D274" w:rsidR="004D3141" w:rsidRPr="00B1443A" w:rsidRDefault="004D3141" w:rsidP="004D3141">
            <w:r w:rsidRPr="00B1443A">
              <w:t>35</w:t>
            </w:r>
          </w:p>
        </w:tc>
      </w:tr>
      <w:tr w:rsidR="0059128B" w14:paraId="0FD2F267" w14:textId="77777777" w:rsidTr="00652D2E">
        <w:tc>
          <w:tcPr>
            <w:tcW w:w="2337" w:type="dxa"/>
          </w:tcPr>
          <w:p w14:paraId="09750845" w14:textId="35D789B5" w:rsidR="0059128B" w:rsidRDefault="0059128B" w:rsidP="004D3141">
            <w:r>
              <w:t>Tennessee</w:t>
            </w:r>
          </w:p>
        </w:tc>
        <w:tc>
          <w:tcPr>
            <w:tcW w:w="2337" w:type="dxa"/>
          </w:tcPr>
          <w:p w14:paraId="69CB050C" w14:textId="14154A29" w:rsidR="0059128B" w:rsidRPr="00A202F5" w:rsidRDefault="00A202F5" w:rsidP="004D3141">
            <w:r w:rsidRPr="00A202F5">
              <w:t>152</w:t>
            </w:r>
          </w:p>
        </w:tc>
        <w:tc>
          <w:tcPr>
            <w:tcW w:w="2338" w:type="dxa"/>
          </w:tcPr>
          <w:p w14:paraId="2C8D903A" w14:textId="3B9B5014" w:rsidR="0059128B" w:rsidRPr="00A202F5" w:rsidRDefault="00A202F5" w:rsidP="004D3141">
            <w:r w:rsidRPr="00A202F5">
              <w:t>19</w:t>
            </w:r>
          </w:p>
        </w:tc>
        <w:tc>
          <w:tcPr>
            <w:tcW w:w="2338" w:type="dxa"/>
          </w:tcPr>
          <w:p w14:paraId="4DE2C601" w14:textId="066D1712" w:rsidR="0059128B" w:rsidRPr="00A202F5" w:rsidRDefault="00A202F5" w:rsidP="004D3141">
            <w:r w:rsidRPr="00A202F5">
              <w:t>23</w:t>
            </w:r>
          </w:p>
        </w:tc>
      </w:tr>
      <w:tr w:rsidR="004D3141" w14:paraId="79157F22" w14:textId="77777777" w:rsidTr="00652D2E">
        <w:tc>
          <w:tcPr>
            <w:tcW w:w="2337" w:type="dxa"/>
          </w:tcPr>
          <w:p w14:paraId="3E84AD0E" w14:textId="023B8808" w:rsidR="004D3141" w:rsidRDefault="004D3141" w:rsidP="004D3141">
            <w:r>
              <w:t>Texas A&amp;M</w:t>
            </w:r>
          </w:p>
        </w:tc>
        <w:tc>
          <w:tcPr>
            <w:tcW w:w="2337" w:type="dxa"/>
          </w:tcPr>
          <w:p w14:paraId="02EFC94E" w14:textId="68982D7C" w:rsidR="004D3141" w:rsidRPr="007C302B" w:rsidRDefault="007C302B" w:rsidP="004D3141">
            <w:r w:rsidRPr="007C302B">
              <w:t>1,650</w:t>
            </w:r>
          </w:p>
        </w:tc>
        <w:tc>
          <w:tcPr>
            <w:tcW w:w="2338" w:type="dxa"/>
          </w:tcPr>
          <w:p w14:paraId="440A794C" w14:textId="2CA8604E" w:rsidR="004D3141" w:rsidRPr="007C302B" w:rsidRDefault="004D3141" w:rsidP="004D3141">
            <w:r w:rsidRPr="007C302B">
              <w:t>150</w:t>
            </w:r>
          </w:p>
        </w:tc>
        <w:tc>
          <w:tcPr>
            <w:tcW w:w="2338" w:type="dxa"/>
          </w:tcPr>
          <w:p w14:paraId="60DC28C9" w14:textId="2FE0B041" w:rsidR="004D3141" w:rsidRPr="007C302B" w:rsidRDefault="004D3141" w:rsidP="004D3141">
            <w:r w:rsidRPr="007C302B">
              <w:t>7</w:t>
            </w:r>
            <w:r w:rsidR="007C302B" w:rsidRPr="007C302B">
              <w:t>8</w:t>
            </w:r>
          </w:p>
        </w:tc>
      </w:tr>
      <w:tr w:rsidR="00D74FF7" w14:paraId="5827080F" w14:textId="77777777" w:rsidTr="00652D2E">
        <w:tc>
          <w:tcPr>
            <w:tcW w:w="2337" w:type="dxa"/>
          </w:tcPr>
          <w:p w14:paraId="1D71D860" w14:textId="7E8F53B1" w:rsidR="00D74FF7" w:rsidRDefault="00D74FF7" w:rsidP="004D3141">
            <w:r>
              <w:t>Virginia Tech</w:t>
            </w:r>
          </w:p>
        </w:tc>
        <w:tc>
          <w:tcPr>
            <w:tcW w:w="2337" w:type="dxa"/>
          </w:tcPr>
          <w:p w14:paraId="33869BEA" w14:textId="27182D5B" w:rsidR="00D74FF7" w:rsidRPr="007C302B" w:rsidRDefault="00C12026" w:rsidP="004D3141">
            <w:r>
              <w:t>235</w:t>
            </w:r>
          </w:p>
        </w:tc>
        <w:tc>
          <w:tcPr>
            <w:tcW w:w="2338" w:type="dxa"/>
          </w:tcPr>
          <w:p w14:paraId="4E182CF5" w14:textId="7FFBFF34" w:rsidR="00D74FF7" w:rsidRPr="007C302B" w:rsidRDefault="00C12026" w:rsidP="004D3141">
            <w:r>
              <w:t>41</w:t>
            </w:r>
          </w:p>
        </w:tc>
        <w:tc>
          <w:tcPr>
            <w:tcW w:w="2338" w:type="dxa"/>
          </w:tcPr>
          <w:p w14:paraId="1081A1C0" w14:textId="07099F68" w:rsidR="00D74FF7" w:rsidRPr="007C302B" w:rsidRDefault="004C0036" w:rsidP="004D3141">
            <w:r>
              <w:t>44</w:t>
            </w:r>
          </w:p>
        </w:tc>
      </w:tr>
    </w:tbl>
    <w:p w14:paraId="389B715E" w14:textId="77777777" w:rsidR="00652D2E" w:rsidRPr="00652D2E" w:rsidRDefault="00652D2E" w:rsidP="00652D2E"/>
    <w:sectPr w:rsidR="00652D2E" w:rsidRPr="00652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35156"/>
    <w:multiLevelType w:val="multilevel"/>
    <w:tmpl w:val="2C30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2084B"/>
    <w:multiLevelType w:val="multilevel"/>
    <w:tmpl w:val="8BF6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564620">
    <w:abstractNumId w:val="0"/>
  </w:num>
  <w:num w:numId="2" w16cid:durableId="204540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2E"/>
    <w:rsid w:val="00014F10"/>
    <w:rsid w:val="00016192"/>
    <w:rsid w:val="00041CC1"/>
    <w:rsid w:val="00074D32"/>
    <w:rsid w:val="00080A0D"/>
    <w:rsid w:val="000B6B32"/>
    <w:rsid w:val="001767A1"/>
    <w:rsid w:val="002223BC"/>
    <w:rsid w:val="00285F23"/>
    <w:rsid w:val="003C0167"/>
    <w:rsid w:val="003C4611"/>
    <w:rsid w:val="003C51A7"/>
    <w:rsid w:val="0044361C"/>
    <w:rsid w:val="004B7231"/>
    <w:rsid w:val="004C0036"/>
    <w:rsid w:val="004D076F"/>
    <w:rsid w:val="004D3141"/>
    <w:rsid w:val="00527B4B"/>
    <w:rsid w:val="00584173"/>
    <w:rsid w:val="0059128B"/>
    <w:rsid w:val="00597993"/>
    <w:rsid w:val="005C6F48"/>
    <w:rsid w:val="005C7CD4"/>
    <w:rsid w:val="005F58B7"/>
    <w:rsid w:val="00652D2E"/>
    <w:rsid w:val="006D0080"/>
    <w:rsid w:val="006F3A9E"/>
    <w:rsid w:val="0073653F"/>
    <w:rsid w:val="00752D31"/>
    <w:rsid w:val="007C302B"/>
    <w:rsid w:val="00836D8C"/>
    <w:rsid w:val="008758F9"/>
    <w:rsid w:val="00916EDD"/>
    <w:rsid w:val="0093421E"/>
    <w:rsid w:val="00941F8C"/>
    <w:rsid w:val="009E5D4B"/>
    <w:rsid w:val="009F3AA4"/>
    <w:rsid w:val="00A202F5"/>
    <w:rsid w:val="00A320B3"/>
    <w:rsid w:val="00A829B7"/>
    <w:rsid w:val="00AD4858"/>
    <w:rsid w:val="00AF1818"/>
    <w:rsid w:val="00B1443A"/>
    <w:rsid w:val="00B71D9E"/>
    <w:rsid w:val="00B87B55"/>
    <w:rsid w:val="00BC2D7E"/>
    <w:rsid w:val="00C12026"/>
    <w:rsid w:val="00C40329"/>
    <w:rsid w:val="00C44E77"/>
    <w:rsid w:val="00CE4191"/>
    <w:rsid w:val="00D621BA"/>
    <w:rsid w:val="00D74FF7"/>
    <w:rsid w:val="00DD6EF7"/>
    <w:rsid w:val="00E37CA3"/>
    <w:rsid w:val="00E80186"/>
    <w:rsid w:val="00F00BF5"/>
    <w:rsid w:val="00F00F5B"/>
    <w:rsid w:val="00F164C5"/>
    <w:rsid w:val="00F5111B"/>
    <w:rsid w:val="00F77610"/>
    <w:rsid w:val="00FA4490"/>
    <w:rsid w:val="00FA5EAF"/>
    <w:rsid w:val="00FD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11A1"/>
  <w15:chartTrackingRefBased/>
  <w15:docId w15:val="{331A35C7-34C0-4CE6-A6C3-E5FDD1BA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D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2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1346</Characters>
  <Application>Microsoft Office Word</Application>
  <DocSecurity>0</DocSecurity>
  <Lines>79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- IFAS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House,Lisa</dc:creator>
  <cp:keywords/>
  <dc:description/>
  <cp:lastModifiedBy>Kennedy, P. Lynn</cp:lastModifiedBy>
  <cp:revision>40</cp:revision>
  <dcterms:created xsi:type="dcterms:W3CDTF">2026-02-12T20:52:00Z</dcterms:created>
  <dcterms:modified xsi:type="dcterms:W3CDTF">2026-03-03T15:13:00Z</dcterms:modified>
</cp:coreProperties>
</file>