
<file path=[Content_Types].xml><?xml version="1.0" encoding="utf-8"?>
<Types xmlns="http://schemas.openxmlformats.org/package/2006/content-types">
  <Default Extension="emf" ContentType="image/x-emf"/>
  <Default Extension="pptx" ContentType="application/vnd.openxmlformats-officedocument.presentationml.presentation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5CDEE" w14:textId="04C5CD14" w:rsidR="005D1D6C" w:rsidRPr="005D1D6C" w:rsidRDefault="005D1D6C" w:rsidP="002336E3">
      <w:pPr>
        <w:pStyle w:val="Title"/>
        <w:spacing w:after="0"/>
      </w:pPr>
      <w:r w:rsidRPr="005D1D6C">
        <w:t>ASABE EOPD</w:t>
      </w:r>
      <w:r w:rsidRPr="005D1D6C">
        <w:noBreakHyphen/>
        <w:t>210 Committee</w:t>
      </w:r>
    </w:p>
    <w:p w14:paraId="5A2A2B74" w14:textId="7DA55890" w:rsidR="005D1D6C" w:rsidRPr="005D1D6C" w:rsidRDefault="005D1D6C" w:rsidP="002336E3">
      <w:pPr>
        <w:pStyle w:val="Subtitle"/>
        <w:spacing w:after="0"/>
      </w:pPr>
      <w:r w:rsidRPr="005D1D6C">
        <w:t>January Meeting Minutes</w:t>
      </w:r>
    </w:p>
    <w:p w14:paraId="5A0AEDDB" w14:textId="3BD25AA5" w:rsidR="00B92591" w:rsidRPr="005D1D6C" w:rsidRDefault="005D1D6C" w:rsidP="002336E3">
      <w:pPr>
        <w:spacing w:after="0"/>
      </w:pPr>
      <w:r w:rsidRPr="005D1D6C">
        <w:rPr>
          <w:b/>
          <w:bCs/>
        </w:rPr>
        <w:t>Date:</w:t>
      </w:r>
      <w:r w:rsidRPr="005D1D6C">
        <w:t xml:space="preserve"> January </w:t>
      </w:r>
      <w:r>
        <w:t>13, 2026</w:t>
      </w:r>
      <w:r w:rsidRPr="005D1D6C">
        <w:br/>
      </w:r>
      <w:r w:rsidRPr="005D1D6C">
        <w:rPr>
          <w:b/>
          <w:bCs/>
        </w:rPr>
        <w:t>Location:</w:t>
      </w:r>
      <w:r w:rsidRPr="005D1D6C">
        <w:t xml:space="preserve"> In</w:t>
      </w:r>
      <w:r w:rsidRPr="005D1D6C">
        <w:noBreakHyphen/>
        <w:t>person</w:t>
      </w:r>
      <w:r>
        <w:t xml:space="preserve"> (Hyatt Place DFW Airport)</w:t>
      </w:r>
      <w:r w:rsidRPr="005D1D6C">
        <w:t xml:space="preserve"> &amp; virtual</w:t>
      </w:r>
      <w:r w:rsidRPr="005D1D6C">
        <w:br/>
      </w:r>
      <w:r w:rsidRPr="005D1D6C">
        <w:rPr>
          <w:b/>
          <w:bCs/>
        </w:rPr>
        <w:t>Call to Order:</w:t>
      </w:r>
      <w:r w:rsidRPr="005D1D6C">
        <w:t xml:space="preserve"> 8:05 AM</w:t>
      </w:r>
      <w:r w:rsidR="00B92591" w:rsidRPr="00B92591">
        <w:t xml:space="preserve"> </w:t>
      </w:r>
      <w:r w:rsidR="00B92591" w:rsidRPr="005D1D6C">
        <w:br/>
      </w:r>
      <w:r w:rsidR="00B92591">
        <w:rPr>
          <w:b/>
          <w:bCs/>
        </w:rPr>
        <w:t>Attendees</w:t>
      </w:r>
      <w:r w:rsidR="00B92591" w:rsidRPr="005D1D6C">
        <w:rPr>
          <w:b/>
          <w:bCs/>
        </w:rPr>
        <w:t>:</w:t>
      </w:r>
      <w:r w:rsidR="00B92591" w:rsidRPr="005D1D6C">
        <w:t xml:space="preserve"> </w:t>
      </w:r>
      <w:r w:rsidR="00B92591">
        <w:t>See appendix</w:t>
      </w:r>
    </w:p>
    <w:p w14:paraId="77B2F3D9" w14:textId="00FC119B" w:rsidR="005D1D6C" w:rsidRPr="002336E3" w:rsidRDefault="005D1D6C" w:rsidP="002336E3">
      <w:pPr>
        <w:pStyle w:val="Heading1"/>
      </w:pPr>
      <w:r w:rsidRPr="002336E3">
        <w:t>Approval of Agenda and Previous Minutes</w:t>
      </w:r>
    </w:p>
    <w:p w14:paraId="2741BCE7" w14:textId="77777777" w:rsidR="005D1D6C" w:rsidRPr="005D1D6C" w:rsidRDefault="005D1D6C" w:rsidP="002336E3">
      <w:pPr>
        <w:spacing w:after="0"/>
      </w:pPr>
      <w:r w:rsidRPr="005D1D6C">
        <w:t>A motion to approve was made, seconded, and approved.</w:t>
      </w:r>
    </w:p>
    <w:p w14:paraId="204AB6E6" w14:textId="613C29B2" w:rsidR="005D1D6C" w:rsidRPr="005D1D6C" w:rsidRDefault="005D1D6C" w:rsidP="002336E3">
      <w:pPr>
        <w:pStyle w:val="Heading1"/>
      </w:pPr>
      <w:r w:rsidRPr="005D1D6C">
        <w:t xml:space="preserve">ASABE Update </w:t>
      </w:r>
      <w:r>
        <w:t>– Travis Tsunemori, President-Elect</w:t>
      </w:r>
    </w:p>
    <w:p w14:paraId="6D5760B5" w14:textId="38BFC2C8" w:rsidR="005D1D6C" w:rsidRPr="002336E3" w:rsidRDefault="005D1D6C" w:rsidP="002336E3">
      <w:pPr>
        <w:pStyle w:val="Heading2"/>
      </w:pPr>
      <w:r w:rsidRPr="002336E3">
        <w:t>Students</w:t>
      </w:r>
    </w:p>
    <w:p w14:paraId="4C25E0B6" w14:textId="77777777" w:rsidR="005D1D6C" w:rsidRPr="005D1D6C" w:rsidRDefault="005D1D6C" w:rsidP="002336E3">
      <w:pPr>
        <w:numPr>
          <w:ilvl w:val="0"/>
          <w:numId w:val="1"/>
        </w:numPr>
        <w:spacing w:after="0"/>
      </w:pPr>
      <w:r w:rsidRPr="005D1D6C">
        <w:t>Rallies, competitions, awards.</w:t>
      </w:r>
    </w:p>
    <w:p w14:paraId="642A81C1" w14:textId="77777777" w:rsidR="005D1D6C" w:rsidRPr="005D1D6C" w:rsidRDefault="005D1D6C" w:rsidP="002336E3">
      <w:pPr>
        <w:numPr>
          <w:ilvl w:val="0"/>
          <w:numId w:val="1"/>
        </w:numPr>
        <w:spacing w:after="0"/>
      </w:pPr>
      <w:r w:rsidRPr="005D1D6C">
        <w:t>Free membership initiative.</w:t>
      </w:r>
    </w:p>
    <w:p w14:paraId="4DC0A892" w14:textId="77777777" w:rsidR="005D1D6C" w:rsidRPr="005D1D6C" w:rsidRDefault="005D1D6C" w:rsidP="002336E3">
      <w:pPr>
        <w:pStyle w:val="Heading2"/>
      </w:pPr>
      <w:r w:rsidRPr="005D1D6C">
        <w:t>Young Professionals Community (YPC)</w:t>
      </w:r>
    </w:p>
    <w:p w14:paraId="730FD29C" w14:textId="29BA349C" w:rsidR="005D1D6C" w:rsidRPr="005D1D6C" w:rsidRDefault="005D1D6C" w:rsidP="002336E3">
      <w:pPr>
        <w:spacing w:after="0"/>
        <w:ind w:firstLine="360"/>
      </w:pPr>
      <w:r>
        <w:t xml:space="preserve">Reminder of </w:t>
      </w:r>
      <w:proofErr w:type="gramStart"/>
      <w:r>
        <w:t>s</w:t>
      </w:r>
      <w:r w:rsidRPr="005D1D6C">
        <w:t>ociety</w:t>
      </w:r>
      <w:proofErr w:type="gramEnd"/>
      <w:r w:rsidRPr="005D1D6C">
        <w:t xml:space="preserve"> tools and benefits, including:</w:t>
      </w:r>
    </w:p>
    <w:p w14:paraId="410FA840" w14:textId="77777777" w:rsidR="005D1D6C" w:rsidRPr="005D1D6C" w:rsidRDefault="005D1D6C" w:rsidP="002336E3">
      <w:pPr>
        <w:numPr>
          <w:ilvl w:val="0"/>
          <w:numId w:val="2"/>
        </w:numPr>
        <w:spacing w:after="0"/>
      </w:pPr>
      <w:r w:rsidRPr="005D1D6C">
        <w:t>Career center</w:t>
      </w:r>
    </w:p>
    <w:p w14:paraId="10B68994" w14:textId="77777777" w:rsidR="005D1D6C" w:rsidRPr="005D1D6C" w:rsidRDefault="005D1D6C" w:rsidP="002336E3">
      <w:pPr>
        <w:numPr>
          <w:ilvl w:val="0"/>
          <w:numId w:val="2"/>
        </w:numPr>
        <w:spacing w:after="0"/>
      </w:pPr>
      <w:r w:rsidRPr="005D1D6C">
        <w:t>PE licensure support</w:t>
      </w:r>
    </w:p>
    <w:p w14:paraId="45C89C93" w14:textId="77777777" w:rsidR="005D1D6C" w:rsidRPr="005D1D6C" w:rsidRDefault="005D1D6C" w:rsidP="002336E3">
      <w:pPr>
        <w:numPr>
          <w:ilvl w:val="0"/>
          <w:numId w:val="2"/>
        </w:numPr>
        <w:spacing w:after="0"/>
      </w:pPr>
      <w:r w:rsidRPr="005D1D6C">
        <w:t>Publications and standards</w:t>
      </w:r>
    </w:p>
    <w:p w14:paraId="3C2B9AE1" w14:textId="77777777" w:rsidR="005D1D6C" w:rsidRPr="005D1D6C" w:rsidRDefault="005D1D6C" w:rsidP="002336E3">
      <w:pPr>
        <w:numPr>
          <w:ilvl w:val="0"/>
          <w:numId w:val="2"/>
        </w:numPr>
        <w:spacing w:after="0"/>
      </w:pPr>
      <w:r w:rsidRPr="005D1D6C">
        <w:t>Meetings and sectionals</w:t>
      </w:r>
    </w:p>
    <w:p w14:paraId="6FE17DA8" w14:textId="77777777" w:rsidR="005D1D6C" w:rsidRPr="005D1D6C" w:rsidRDefault="005D1D6C" w:rsidP="002336E3">
      <w:pPr>
        <w:pStyle w:val="Heading2"/>
      </w:pPr>
      <w:r w:rsidRPr="005D1D6C">
        <w:t>Foundation</w:t>
      </w:r>
    </w:p>
    <w:p w14:paraId="389E80A8" w14:textId="77777777" w:rsidR="005D1D6C" w:rsidRPr="005D1D6C" w:rsidRDefault="005D1D6C" w:rsidP="002336E3">
      <w:pPr>
        <w:numPr>
          <w:ilvl w:val="0"/>
          <w:numId w:val="3"/>
        </w:numPr>
        <w:spacing w:after="0"/>
      </w:pPr>
      <w:r w:rsidRPr="005D1D6C">
        <w:t>Current focus includes funding for students.</w:t>
      </w:r>
    </w:p>
    <w:p w14:paraId="33BA72CA" w14:textId="77777777" w:rsidR="005D1D6C" w:rsidRPr="005D1D6C" w:rsidRDefault="005D1D6C" w:rsidP="002336E3">
      <w:pPr>
        <w:pStyle w:val="Heading2"/>
      </w:pPr>
      <w:r w:rsidRPr="005D1D6C">
        <w:t>Communication</w:t>
      </w:r>
    </w:p>
    <w:p w14:paraId="12D28D59" w14:textId="6C457BD6" w:rsidR="005D1D6C" w:rsidRPr="005D1D6C" w:rsidRDefault="005D1D6C" w:rsidP="002336E3">
      <w:pPr>
        <w:numPr>
          <w:ilvl w:val="0"/>
          <w:numId w:val="4"/>
        </w:numPr>
        <w:spacing w:after="0"/>
      </w:pPr>
      <w:r>
        <w:t>Discussion of the n</w:t>
      </w:r>
      <w:r w:rsidRPr="005D1D6C">
        <w:t>eed for a strategic communication plan at ASABE.</w:t>
      </w:r>
    </w:p>
    <w:p w14:paraId="32853A44" w14:textId="1891988D" w:rsidR="005D1D6C" w:rsidRPr="005D1D6C" w:rsidRDefault="005D1D6C" w:rsidP="002336E3">
      <w:pPr>
        <w:numPr>
          <w:ilvl w:val="0"/>
          <w:numId w:val="4"/>
        </w:numPr>
        <w:spacing w:after="0"/>
      </w:pPr>
      <w:r w:rsidRPr="005D1D6C">
        <w:t>Platforms</w:t>
      </w:r>
      <w:r>
        <w:t xml:space="preserve"> include</w:t>
      </w:r>
      <w:r w:rsidRPr="005D1D6C">
        <w:t xml:space="preserve"> Facebook, Instagram, LinkedIn.</w:t>
      </w:r>
    </w:p>
    <w:p w14:paraId="3C191F9D" w14:textId="15E874D3" w:rsidR="005D1D6C" w:rsidRPr="005D1D6C" w:rsidRDefault="005D1D6C" w:rsidP="002336E3">
      <w:pPr>
        <w:numPr>
          <w:ilvl w:val="0"/>
          <w:numId w:val="4"/>
        </w:numPr>
        <w:spacing w:after="0"/>
      </w:pPr>
      <w:r w:rsidRPr="005D1D6C">
        <w:t xml:space="preserve">Discussion that </w:t>
      </w:r>
      <w:r>
        <w:t xml:space="preserve">it would be appreciated if </w:t>
      </w:r>
      <w:r w:rsidRPr="005D1D6C">
        <w:t xml:space="preserve">ASABE </w:t>
      </w:r>
      <w:r>
        <w:t>w</w:t>
      </w:r>
      <w:r w:rsidRPr="005D1D6C">
        <w:t>ould amplify what members</w:t>
      </w:r>
      <w:r>
        <w:t xml:space="preserve"> and departments/partners</w:t>
      </w:r>
      <w:r w:rsidRPr="005D1D6C">
        <w:t xml:space="preserve"> are doing.</w:t>
      </w:r>
    </w:p>
    <w:p w14:paraId="2ADEACDE" w14:textId="3F4FA96F" w:rsidR="005D1D6C" w:rsidRPr="005D1D6C" w:rsidRDefault="005D1D6C" w:rsidP="002336E3">
      <w:pPr>
        <w:pStyle w:val="Heading2"/>
      </w:pPr>
      <w:r>
        <w:t>Discussion on the value proposition for ASABE membership</w:t>
      </w:r>
    </w:p>
    <w:p w14:paraId="3B9A8A87" w14:textId="7FB4976C" w:rsidR="005D1D6C" w:rsidRPr="005D1D6C" w:rsidRDefault="005D1D6C" w:rsidP="002336E3">
      <w:pPr>
        <w:numPr>
          <w:ilvl w:val="0"/>
          <w:numId w:val="5"/>
        </w:numPr>
        <w:spacing w:after="0"/>
      </w:pPr>
      <w:r w:rsidRPr="005D1D6C">
        <w:t xml:space="preserve">Members—especially younger members—need better “recognition” of </w:t>
      </w:r>
      <w:r>
        <w:t xml:space="preserve">the </w:t>
      </w:r>
      <w:r w:rsidRPr="005D1D6C">
        <w:t>expertise</w:t>
      </w:r>
      <w:r>
        <w:t xml:space="preserve"> they have and ASABE should be engaged on that recognition</w:t>
      </w:r>
      <w:r w:rsidRPr="005D1D6C">
        <w:t>.</w:t>
      </w:r>
    </w:p>
    <w:p w14:paraId="7F442B17" w14:textId="45C0D9B2" w:rsidR="005D1D6C" w:rsidRDefault="005D1D6C" w:rsidP="002336E3">
      <w:pPr>
        <w:numPr>
          <w:ilvl w:val="1"/>
          <w:numId w:val="5"/>
        </w:numPr>
        <w:spacing w:after="0"/>
      </w:pPr>
      <w:r>
        <w:t xml:space="preserve">Discussion that this is a long-standing and ongoing challenge. </w:t>
      </w:r>
      <w:r w:rsidRPr="005D1D6C">
        <w:t xml:space="preserve">Brad </w:t>
      </w:r>
      <w:r>
        <w:t xml:space="preserve">Marks </w:t>
      </w:r>
      <w:r w:rsidRPr="005D1D6C">
        <w:t xml:space="preserve">noted MSU Career Services has </w:t>
      </w:r>
      <w:r>
        <w:t>started trying to</w:t>
      </w:r>
      <w:r w:rsidRPr="005D1D6C">
        <w:t xml:space="preserve"> discourage companies from specifying majors over sector/expertise areas.</w:t>
      </w:r>
      <w:r>
        <w:t xml:space="preserve"> Marybeth Lima noted they tried this with perhaps less success at LSU, but indicated they are doing some more in-department career/networking services that have helped</w:t>
      </w:r>
      <w:r w:rsidR="00C81B1E">
        <w:t>; R</w:t>
      </w:r>
      <w:r w:rsidR="004368E1">
        <w:t>o</w:t>
      </w:r>
      <w:r w:rsidR="00C81B1E">
        <w:t xml:space="preserve">naldo mentioned similar </w:t>
      </w:r>
      <w:proofErr w:type="gramStart"/>
      <w:r w:rsidR="00C81B1E">
        <w:t>mini in-house</w:t>
      </w:r>
      <w:proofErr w:type="gramEnd"/>
      <w:r w:rsidR="00C81B1E">
        <w:t xml:space="preserve"> career fair at Illinois</w:t>
      </w:r>
      <w:r>
        <w:t xml:space="preserve">. </w:t>
      </w:r>
    </w:p>
    <w:p w14:paraId="32C13AA1" w14:textId="56440B10" w:rsidR="005D1D6C" w:rsidRPr="005D1D6C" w:rsidRDefault="005D1D6C" w:rsidP="002336E3">
      <w:pPr>
        <w:numPr>
          <w:ilvl w:val="0"/>
          <w:numId w:val="5"/>
        </w:numPr>
        <w:spacing w:after="0"/>
      </w:pPr>
      <w:r>
        <w:lastRenderedPageBreak/>
        <w:t>Some questions</w:t>
      </w:r>
      <w:r w:rsidRPr="005D1D6C">
        <w:t xml:space="preserve"> on where the return on investment (ROI) is for the </w:t>
      </w:r>
      <w:r>
        <w:t xml:space="preserve">ASABE </w:t>
      </w:r>
      <w:r w:rsidRPr="005D1D6C">
        <w:t>career center.</w:t>
      </w:r>
      <w:r>
        <w:t xml:space="preserve"> Perhaps given the evolution of many platforms in this space, there is not a strong need to continue this as an ASABE activity.</w:t>
      </w:r>
    </w:p>
    <w:p w14:paraId="3B6C2CDA" w14:textId="42FBEE17" w:rsidR="005D1D6C" w:rsidRPr="005D1D6C" w:rsidRDefault="00C81B1E" w:rsidP="002336E3">
      <w:pPr>
        <w:pStyle w:val="Heading1"/>
      </w:pPr>
      <w:r>
        <w:t xml:space="preserve">Discussion: </w:t>
      </w:r>
      <w:r w:rsidR="005D1D6C" w:rsidRPr="005D1D6C">
        <w:t>Student Pipeline</w:t>
      </w:r>
      <w:r>
        <w:t>s</w:t>
      </w:r>
      <w:r w:rsidR="005D1D6C" w:rsidRPr="005D1D6C">
        <w:t xml:space="preserve"> &amp; Program Identity</w:t>
      </w:r>
    </w:p>
    <w:p w14:paraId="419D705B" w14:textId="02B160F4" w:rsidR="00C81B1E" w:rsidRDefault="00C81B1E" w:rsidP="002336E3">
      <w:pPr>
        <w:pStyle w:val="Heading2"/>
      </w:pPr>
      <w:r>
        <w:t>Drawing students to the discipline</w:t>
      </w:r>
    </w:p>
    <w:p w14:paraId="40018827" w14:textId="464AE0C3" w:rsidR="005D1D6C" w:rsidRDefault="00C81B1E" w:rsidP="002336E3">
      <w:pPr>
        <w:spacing w:after="0"/>
        <w:ind w:left="360"/>
      </w:pPr>
      <w:proofErr w:type="gramStart"/>
      <w:r>
        <w:t>A number of</w:t>
      </w:r>
      <w:proofErr w:type="gramEnd"/>
      <w:r>
        <w:t xml:space="preserve"> programs </w:t>
      </w:r>
      <w:proofErr w:type="gramStart"/>
      <w:r>
        <w:t>have</w:t>
      </w:r>
      <w:proofErr w:type="gramEnd"/>
      <w:r>
        <w:t xml:space="preserve"> efforts </w:t>
      </w:r>
      <w:r w:rsidR="005D1D6C" w:rsidRPr="005D1D6C">
        <w:t xml:space="preserve">to develop </w:t>
      </w:r>
      <w:r>
        <w:t>Ag/Bio Engineering</w:t>
      </w:r>
      <w:r w:rsidR="005D1D6C" w:rsidRPr="005D1D6C">
        <w:t xml:space="preserve"> minors </w:t>
      </w:r>
      <w:r>
        <w:t xml:space="preserve">and/or certificates </w:t>
      </w:r>
      <w:r w:rsidR="005D1D6C" w:rsidRPr="005D1D6C">
        <w:t xml:space="preserve">to attract students from </w:t>
      </w:r>
      <w:r>
        <w:t xml:space="preserve">the </w:t>
      </w:r>
      <w:r w:rsidR="005D1D6C" w:rsidRPr="005D1D6C">
        <w:t>larger disciplines</w:t>
      </w:r>
      <w:r>
        <w:t>, or to provide an education pathway to provide expertise to people (including working folks) who start outside our discipline</w:t>
      </w:r>
      <w:r w:rsidR="005D1D6C" w:rsidRPr="005D1D6C">
        <w:t>.</w:t>
      </w:r>
      <w:r>
        <w:t xml:space="preserve"> Similar efforts are happening in the engineering technology space. Examples given at McGill, MSU (Smart Ag), Purdue, Illinois (BS ABE + Comp Sci and similar). </w:t>
      </w:r>
    </w:p>
    <w:p w14:paraId="7E89752E" w14:textId="309A2ECF" w:rsidR="00C81B1E" w:rsidRPr="005D1D6C" w:rsidRDefault="00C81B1E" w:rsidP="002336E3">
      <w:pPr>
        <w:pStyle w:val="Heading2"/>
      </w:pPr>
      <w:r>
        <w:t>Strengthening disciplinary identity in the departments, esp. among the faculty</w:t>
      </w:r>
    </w:p>
    <w:p w14:paraId="613595B5" w14:textId="77777777" w:rsidR="005D1D6C" w:rsidRPr="005D1D6C" w:rsidRDefault="005D1D6C" w:rsidP="002336E3">
      <w:pPr>
        <w:numPr>
          <w:ilvl w:val="0"/>
          <w:numId w:val="8"/>
        </w:numPr>
        <w:spacing w:after="0"/>
      </w:pPr>
      <w:r w:rsidRPr="005D1D6C">
        <w:t>Many bio</w:t>
      </w:r>
      <w:r w:rsidRPr="005D1D6C">
        <w:noBreakHyphen/>
        <w:t>focused faculty do not identify with ASABE.</w:t>
      </w:r>
    </w:p>
    <w:p w14:paraId="5FBD33C4" w14:textId="77777777" w:rsidR="005D1D6C" w:rsidRPr="005D1D6C" w:rsidRDefault="005D1D6C" w:rsidP="002336E3">
      <w:pPr>
        <w:numPr>
          <w:ilvl w:val="0"/>
          <w:numId w:val="8"/>
        </w:numPr>
        <w:spacing w:after="0"/>
      </w:pPr>
      <w:r w:rsidRPr="005D1D6C">
        <w:t>Example shared: some bio faculty do not feel ASABE provides value for them.</w:t>
      </w:r>
    </w:p>
    <w:p w14:paraId="7877DF6F" w14:textId="77777777" w:rsidR="005D1D6C" w:rsidRPr="005D1D6C" w:rsidRDefault="005D1D6C" w:rsidP="002336E3">
      <w:pPr>
        <w:numPr>
          <w:ilvl w:val="0"/>
          <w:numId w:val="8"/>
        </w:numPr>
        <w:spacing w:after="0"/>
      </w:pPr>
      <w:r w:rsidRPr="005D1D6C">
        <w:t>Ecological Engineering faculty showing similar tendencies; AGU is a strong draw.</w:t>
      </w:r>
    </w:p>
    <w:p w14:paraId="29C3A17B" w14:textId="77777777" w:rsidR="005D1D6C" w:rsidRPr="005D1D6C" w:rsidRDefault="005D1D6C" w:rsidP="002336E3">
      <w:pPr>
        <w:numPr>
          <w:ilvl w:val="0"/>
          <w:numId w:val="8"/>
        </w:numPr>
        <w:spacing w:after="0"/>
      </w:pPr>
      <w:r w:rsidRPr="005D1D6C">
        <w:t>Some faculty attend more specialized disciplinary conferences instead of ASABE.</w:t>
      </w:r>
    </w:p>
    <w:p w14:paraId="5116C4C6" w14:textId="77777777" w:rsidR="005D1D6C" w:rsidRPr="005D1D6C" w:rsidRDefault="005D1D6C" w:rsidP="002336E3">
      <w:pPr>
        <w:pStyle w:val="Heading3"/>
        <w:spacing w:after="0"/>
      </w:pPr>
      <w:r w:rsidRPr="005D1D6C">
        <w:t>Conference Costs &amp; Travel</w:t>
      </w:r>
    </w:p>
    <w:p w14:paraId="7187B8A4" w14:textId="77777777" w:rsidR="005D1D6C" w:rsidRPr="005D1D6C" w:rsidRDefault="005D1D6C" w:rsidP="002336E3">
      <w:pPr>
        <w:numPr>
          <w:ilvl w:val="0"/>
          <w:numId w:val="9"/>
        </w:numPr>
        <w:spacing w:after="0"/>
      </w:pPr>
      <w:r w:rsidRPr="005D1D6C">
        <w:t>ASABE meetings are perceived as comparatively expensive.</w:t>
      </w:r>
    </w:p>
    <w:p w14:paraId="7EC36E2D" w14:textId="77777777" w:rsidR="005D1D6C" w:rsidRPr="005D1D6C" w:rsidRDefault="005D1D6C" w:rsidP="002336E3">
      <w:pPr>
        <w:numPr>
          <w:ilvl w:val="0"/>
          <w:numId w:val="9"/>
        </w:numPr>
        <w:spacing w:after="0"/>
      </w:pPr>
      <w:r w:rsidRPr="005D1D6C">
        <w:t>Subsidized travel has not enticed most faculty but does help graduate students.</w:t>
      </w:r>
    </w:p>
    <w:p w14:paraId="2A66A544" w14:textId="77777777" w:rsidR="005D1D6C" w:rsidRPr="005D1D6C" w:rsidRDefault="005D1D6C" w:rsidP="002336E3">
      <w:pPr>
        <w:pStyle w:val="Heading3"/>
        <w:spacing w:after="0"/>
      </w:pPr>
      <w:r w:rsidRPr="005D1D6C">
        <w:t>Professional Identity &amp; Journals</w:t>
      </w:r>
    </w:p>
    <w:p w14:paraId="3EDEF15A" w14:textId="77777777" w:rsidR="005D1D6C" w:rsidRPr="005D1D6C" w:rsidRDefault="005D1D6C" w:rsidP="002336E3">
      <w:pPr>
        <w:numPr>
          <w:ilvl w:val="0"/>
          <w:numId w:val="10"/>
        </w:numPr>
        <w:spacing w:after="0"/>
      </w:pPr>
      <w:r w:rsidRPr="005D1D6C">
        <w:t>Some faculty do not see ASABE as “their tribe.”</w:t>
      </w:r>
    </w:p>
    <w:p w14:paraId="09DDE6C3" w14:textId="77777777" w:rsidR="005D1D6C" w:rsidRPr="005D1D6C" w:rsidRDefault="005D1D6C" w:rsidP="002336E3">
      <w:pPr>
        <w:numPr>
          <w:ilvl w:val="0"/>
          <w:numId w:val="10"/>
        </w:numPr>
        <w:spacing w:after="0"/>
      </w:pPr>
      <w:r w:rsidRPr="005D1D6C">
        <w:t>Preferred journals may lie outside ASABE.</w:t>
      </w:r>
    </w:p>
    <w:p w14:paraId="20EA6AE2" w14:textId="77777777" w:rsidR="005D1D6C" w:rsidRPr="005D1D6C" w:rsidRDefault="005D1D6C" w:rsidP="002336E3">
      <w:pPr>
        <w:numPr>
          <w:ilvl w:val="0"/>
          <w:numId w:val="10"/>
        </w:numPr>
        <w:spacing w:after="0"/>
      </w:pPr>
      <w:r w:rsidRPr="005D1D6C">
        <w:t>Mission</w:t>
      </w:r>
      <w:r w:rsidRPr="005D1D6C">
        <w:noBreakHyphen/>
        <w:t>driven themes (e.g., circular bioeconomy, investing in students) have appeal.</w:t>
      </w:r>
    </w:p>
    <w:p w14:paraId="5C1321BD" w14:textId="052EED4E" w:rsidR="005D1D6C" w:rsidRPr="005D1D6C" w:rsidRDefault="005D1D6C" w:rsidP="002336E3">
      <w:pPr>
        <w:pStyle w:val="Heading3"/>
        <w:spacing w:after="0"/>
      </w:pPr>
      <w:r w:rsidRPr="005D1D6C">
        <w:t xml:space="preserve">Accreditation </w:t>
      </w:r>
      <w:r w:rsidR="00C81B1E">
        <w:t xml:space="preserve">implications </w:t>
      </w:r>
      <w:r w:rsidRPr="005D1D6C">
        <w:t>(ABET)</w:t>
      </w:r>
    </w:p>
    <w:p w14:paraId="65022DFE" w14:textId="77777777" w:rsidR="005D1D6C" w:rsidRPr="005D1D6C" w:rsidRDefault="005D1D6C" w:rsidP="002336E3">
      <w:pPr>
        <w:numPr>
          <w:ilvl w:val="0"/>
          <w:numId w:val="11"/>
        </w:numPr>
        <w:spacing w:after="0"/>
      </w:pPr>
      <w:r w:rsidRPr="005D1D6C">
        <w:t>ASABE remains the primary organization supporting ABET accreditation of many programs.</w:t>
      </w:r>
    </w:p>
    <w:p w14:paraId="1FAB5D6A" w14:textId="77777777" w:rsidR="005D1D6C" w:rsidRPr="005D1D6C" w:rsidRDefault="005D1D6C" w:rsidP="002336E3">
      <w:pPr>
        <w:numPr>
          <w:ilvl w:val="0"/>
          <w:numId w:val="11"/>
        </w:numPr>
        <w:spacing w:after="0"/>
      </w:pPr>
      <w:r w:rsidRPr="005D1D6C">
        <w:t>Value of licensure and accreditation varies by subdiscipline.</w:t>
      </w:r>
    </w:p>
    <w:p w14:paraId="0C2B73D1" w14:textId="77777777" w:rsidR="005D1D6C" w:rsidRPr="005D1D6C" w:rsidRDefault="005D1D6C" w:rsidP="002336E3">
      <w:pPr>
        <w:pStyle w:val="Heading3"/>
        <w:spacing w:after="0"/>
      </w:pPr>
      <w:r w:rsidRPr="005D1D6C">
        <w:t>Salary Considerations</w:t>
      </w:r>
    </w:p>
    <w:p w14:paraId="7A06D743" w14:textId="0EE10659" w:rsidR="005D1D6C" w:rsidRPr="005D1D6C" w:rsidRDefault="005D1D6C" w:rsidP="002336E3">
      <w:pPr>
        <w:numPr>
          <w:ilvl w:val="0"/>
          <w:numId w:val="12"/>
        </w:numPr>
        <w:spacing w:after="0"/>
      </w:pPr>
      <w:r w:rsidRPr="005D1D6C">
        <w:t>Acknowledgment that salaries may be a limiting factor</w:t>
      </w:r>
      <w:r w:rsidR="00C81B1E">
        <w:t xml:space="preserve"> in attracting and retaining the best faculty</w:t>
      </w:r>
      <w:r w:rsidRPr="005D1D6C">
        <w:t>.</w:t>
      </w:r>
    </w:p>
    <w:p w14:paraId="3320FEF6" w14:textId="77777777" w:rsidR="005D1D6C" w:rsidRPr="005D1D6C" w:rsidRDefault="005D1D6C" w:rsidP="002336E3">
      <w:pPr>
        <w:pStyle w:val="Heading2"/>
      </w:pPr>
      <w:r w:rsidRPr="005D1D6C">
        <w:t>Engineering Technology Students</w:t>
      </w:r>
    </w:p>
    <w:p w14:paraId="13E1E60E" w14:textId="77777777" w:rsidR="005D1D6C" w:rsidRDefault="005D1D6C" w:rsidP="002336E3">
      <w:pPr>
        <w:numPr>
          <w:ilvl w:val="0"/>
          <w:numId w:val="13"/>
        </w:numPr>
        <w:spacing w:after="0"/>
      </w:pPr>
      <w:r w:rsidRPr="005D1D6C">
        <w:t>Under-engagement noted; not due to choosing another society, but lack of involvement overall.</w:t>
      </w:r>
    </w:p>
    <w:p w14:paraId="2678AFE3" w14:textId="77777777" w:rsidR="004368E1" w:rsidRPr="005D1D6C" w:rsidRDefault="004368E1" w:rsidP="002336E3">
      <w:pPr>
        <w:numPr>
          <w:ilvl w:val="0"/>
          <w:numId w:val="13"/>
        </w:numPr>
        <w:spacing w:after="0"/>
      </w:pPr>
      <w:r w:rsidRPr="005D1D6C">
        <w:t xml:space="preserve">Potential strategies: </w:t>
      </w:r>
    </w:p>
    <w:p w14:paraId="7F005102" w14:textId="77777777" w:rsidR="004368E1" w:rsidRPr="005D1D6C" w:rsidRDefault="004368E1" w:rsidP="002336E3">
      <w:pPr>
        <w:numPr>
          <w:ilvl w:val="1"/>
          <w:numId w:val="13"/>
        </w:numPr>
        <w:spacing w:after="0"/>
      </w:pPr>
      <w:r w:rsidRPr="005D1D6C">
        <w:t>Enhance ASABE presence at industry meetings.</w:t>
      </w:r>
    </w:p>
    <w:p w14:paraId="4FC728E5" w14:textId="71388C1E" w:rsidR="004368E1" w:rsidRPr="005D1D6C" w:rsidRDefault="004368E1" w:rsidP="002336E3">
      <w:pPr>
        <w:numPr>
          <w:ilvl w:val="1"/>
          <w:numId w:val="13"/>
        </w:numPr>
        <w:spacing w:after="0"/>
      </w:pPr>
      <w:r w:rsidRPr="005D1D6C">
        <w:lastRenderedPageBreak/>
        <w:t>Strengthen department</w:t>
      </w:r>
      <w:r w:rsidRPr="005D1D6C">
        <w:noBreakHyphen/>
        <w:t>level encouragement of section meetings where industry involvement is strong.</w:t>
      </w:r>
    </w:p>
    <w:p w14:paraId="5C4373E3" w14:textId="77777777" w:rsidR="005D1D6C" w:rsidRPr="005D1D6C" w:rsidRDefault="005D1D6C" w:rsidP="002336E3">
      <w:pPr>
        <w:pStyle w:val="Heading2"/>
      </w:pPr>
      <w:r w:rsidRPr="005D1D6C">
        <w:t>International Graduate Students</w:t>
      </w:r>
    </w:p>
    <w:p w14:paraId="22C1AC46" w14:textId="77777777" w:rsidR="005D1D6C" w:rsidRPr="005D1D6C" w:rsidRDefault="005D1D6C" w:rsidP="002336E3">
      <w:pPr>
        <w:numPr>
          <w:ilvl w:val="0"/>
          <w:numId w:val="14"/>
        </w:numPr>
        <w:spacing w:after="0"/>
      </w:pPr>
      <w:r w:rsidRPr="005D1D6C">
        <w:t>Travel to the U.S. becoming more complicated.</w:t>
      </w:r>
    </w:p>
    <w:p w14:paraId="12BE7F4D" w14:textId="7080A3CA" w:rsidR="005D1D6C" w:rsidRDefault="005D1D6C" w:rsidP="002336E3">
      <w:pPr>
        <w:pStyle w:val="Heading1"/>
      </w:pPr>
      <w:r w:rsidRPr="005D1D6C">
        <w:t>Review of Multistate Projects</w:t>
      </w:r>
    </w:p>
    <w:p w14:paraId="27CB5AD6" w14:textId="77777777" w:rsidR="004368E1" w:rsidRDefault="004368E1" w:rsidP="002336E3">
      <w:pPr>
        <w:pStyle w:val="Heading2"/>
      </w:pPr>
      <w:r>
        <w:t>Review of what multistate projects are</w:t>
      </w:r>
    </w:p>
    <w:p w14:paraId="5608BFBE" w14:textId="36AB3130" w:rsidR="004368E1" w:rsidRPr="004368E1" w:rsidRDefault="004368E1" w:rsidP="002336E3">
      <w:pPr>
        <w:pStyle w:val="ListParagraph"/>
        <w:numPr>
          <w:ilvl w:val="0"/>
          <w:numId w:val="22"/>
        </w:numPr>
        <w:spacing w:after="0"/>
      </w:pPr>
      <w:r>
        <w:t>encouragement to find out how this works on your campus and what resources there might be for your unit and faculty, learn how to leverage this.</w:t>
      </w:r>
    </w:p>
    <w:p w14:paraId="312673EE" w14:textId="63716D26" w:rsidR="005D1D6C" w:rsidRPr="005D1D6C" w:rsidRDefault="005D1D6C" w:rsidP="002336E3">
      <w:pPr>
        <w:pStyle w:val="Heading2"/>
      </w:pPr>
      <w:r w:rsidRPr="005D1D6C">
        <w:t xml:space="preserve">NCERA 101 </w:t>
      </w:r>
      <w:r w:rsidR="004368E1">
        <w:t xml:space="preserve">(closed environment ag) </w:t>
      </w:r>
      <w:r w:rsidRPr="005D1D6C">
        <w:t>– Mark</w:t>
      </w:r>
    </w:p>
    <w:p w14:paraId="2B3A4BD3" w14:textId="77777777" w:rsidR="005D1D6C" w:rsidRPr="005D1D6C" w:rsidRDefault="005D1D6C" w:rsidP="002336E3">
      <w:pPr>
        <w:numPr>
          <w:ilvl w:val="0"/>
          <w:numId w:val="15"/>
        </w:numPr>
        <w:spacing w:after="0"/>
      </w:pPr>
      <w:r w:rsidRPr="005D1D6C">
        <w:t>Recommended to continue, with some suggestions.</w:t>
      </w:r>
    </w:p>
    <w:p w14:paraId="767BB9BC" w14:textId="603D1CFF" w:rsidR="005D1D6C" w:rsidRPr="005D1D6C" w:rsidRDefault="005D1D6C" w:rsidP="002336E3">
      <w:pPr>
        <w:pStyle w:val="Heading2"/>
      </w:pPr>
      <w:r w:rsidRPr="005D1D6C">
        <w:t xml:space="preserve">NC1194 </w:t>
      </w:r>
      <w:r w:rsidR="004368E1">
        <w:t xml:space="preserve">(nanotech and biosensors) </w:t>
      </w:r>
      <w:r w:rsidRPr="005D1D6C">
        <w:t>– R</w:t>
      </w:r>
      <w:r w:rsidR="004368E1">
        <w:t>o</w:t>
      </w:r>
      <w:r w:rsidRPr="005D1D6C">
        <w:t>naldo</w:t>
      </w:r>
    </w:p>
    <w:p w14:paraId="7CB20D85" w14:textId="77777777" w:rsidR="005D1D6C" w:rsidRPr="005D1D6C" w:rsidRDefault="005D1D6C" w:rsidP="002336E3">
      <w:pPr>
        <w:numPr>
          <w:ilvl w:val="0"/>
          <w:numId w:val="16"/>
        </w:numPr>
        <w:spacing w:after="0"/>
      </w:pPr>
      <w:r w:rsidRPr="005D1D6C">
        <w:t>Recommended to continue with some suggestions and campus leverage.</w:t>
      </w:r>
    </w:p>
    <w:p w14:paraId="55BDA725" w14:textId="096CB25F" w:rsidR="005D1D6C" w:rsidRPr="005D1D6C" w:rsidRDefault="005D1D6C" w:rsidP="002336E3">
      <w:pPr>
        <w:pStyle w:val="Heading2"/>
      </w:pPr>
      <w:r w:rsidRPr="005D1D6C">
        <w:t>NC1212</w:t>
      </w:r>
      <w:r w:rsidR="004368E1">
        <w:t xml:space="preserve"> (</w:t>
      </w:r>
      <w:r w:rsidR="004368E1" w:rsidRPr="005D1D6C">
        <w:t>Phenome work in controlled/field environments</w:t>
      </w:r>
      <w:r w:rsidR="004368E1">
        <w:t>)</w:t>
      </w:r>
      <w:r w:rsidRPr="005D1D6C">
        <w:t xml:space="preserve"> – Alex</w:t>
      </w:r>
    </w:p>
    <w:p w14:paraId="67C20BC8" w14:textId="6567154F" w:rsidR="005D1D6C" w:rsidRPr="005D1D6C" w:rsidRDefault="004368E1" w:rsidP="002336E3">
      <w:pPr>
        <w:numPr>
          <w:ilvl w:val="0"/>
          <w:numId w:val="17"/>
        </w:numPr>
        <w:spacing w:after="0"/>
      </w:pPr>
      <w:r>
        <w:t>Recommended</w:t>
      </w:r>
      <w:r w:rsidR="005D1D6C" w:rsidRPr="005D1D6C">
        <w:t>.</w:t>
      </w:r>
    </w:p>
    <w:p w14:paraId="486FABF7" w14:textId="284C1FF7" w:rsidR="005D1D6C" w:rsidRPr="002336E3" w:rsidRDefault="005D1D6C" w:rsidP="002336E3">
      <w:pPr>
        <w:pStyle w:val="Heading1"/>
      </w:pPr>
      <w:r w:rsidRPr="002336E3">
        <w:t>Regional Rallies</w:t>
      </w:r>
      <w:r w:rsidR="004368E1" w:rsidRPr="002336E3">
        <w:t xml:space="preserve"> – Julie Carrier</w:t>
      </w:r>
    </w:p>
    <w:p w14:paraId="7F2500D6" w14:textId="0AE39010" w:rsidR="005D1D6C" w:rsidRPr="005D1D6C" w:rsidRDefault="004368E1" w:rsidP="002336E3">
      <w:pPr>
        <w:numPr>
          <w:ilvl w:val="0"/>
          <w:numId w:val="18"/>
        </w:numPr>
        <w:spacing w:after="0"/>
      </w:pPr>
      <w:r>
        <w:t>Reminder that u</w:t>
      </w:r>
      <w:r w:rsidR="005D1D6C" w:rsidRPr="005D1D6C">
        <w:t>niversities hosting rallies must commit to funding two students to</w:t>
      </w:r>
      <w:r>
        <w:t xml:space="preserve"> attend</w:t>
      </w:r>
      <w:r w:rsidR="005D1D6C" w:rsidRPr="005D1D6C">
        <w:t xml:space="preserve"> the AIM preceding their rally.</w:t>
      </w:r>
    </w:p>
    <w:p w14:paraId="499E1757" w14:textId="02E28D5B" w:rsidR="005D1D6C" w:rsidRPr="005D1D6C" w:rsidRDefault="005D1D6C" w:rsidP="002336E3">
      <w:pPr>
        <w:numPr>
          <w:ilvl w:val="0"/>
          <w:numId w:val="18"/>
        </w:numPr>
        <w:spacing w:after="0"/>
      </w:pPr>
      <w:r w:rsidRPr="005D1D6C">
        <w:t>Discussion of encouraging “up</w:t>
      </w:r>
      <w:r w:rsidRPr="005D1D6C">
        <w:noBreakHyphen/>
        <w:t>and</w:t>
      </w:r>
      <w:r w:rsidRPr="005D1D6C">
        <w:noBreakHyphen/>
        <w:t>coming” chapters</w:t>
      </w:r>
      <w:r w:rsidR="004368E1">
        <w:t>, and the commitment to send representatives from these schools annually</w:t>
      </w:r>
      <w:r w:rsidRPr="005D1D6C">
        <w:t>.</w:t>
      </w:r>
    </w:p>
    <w:p w14:paraId="50F23959" w14:textId="77777777" w:rsidR="005D1D6C" w:rsidRPr="005D1D6C" w:rsidRDefault="005D1D6C" w:rsidP="002336E3">
      <w:pPr>
        <w:numPr>
          <w:ilvl w:val="0"/>
          <w:numId w:val="18"/>
        </w:numPr>
        <w:spacing w:after="0"/>
      </w:pPr>
      <w:proofErr w:type="gramStart"/>
      <w:r w:rsidRPr="005D1D6C">
        <w:t>Sidebar</w:t>
      </w:r>
      <w:proofErr w:type="gramEnd"/>
      <w:r w:rsidRPr="005D1D6C">
        <w:t xml:space="preserve"> on how ASABE can support states or regions without strong sections.</w:t>
      </w:r>
    </w:p>
    <w:p w14:paraId="778EF5E1" w14:textId="77777777" w:rsidR="005D1D6C" w:rsidRPr="005D1D6C" w:rsidRDefault="005D1D6C" w:rsidP="002336E3">
      <w:pPr>
        <w:numPr>
          <w:ilvl w:val="0"/>
          <w:numId w:val="18"/>
        </w:numPr>
        <w:spacing w:after="0"/>
      </w:pPr>
      <w:r w:rsidRPr="005D1D6C">
        <w:t xml:space="preserve">Acknowledgment and appreciation to ASABE for first two years of funds. </w:t>
      </w:r>
    </w:p>
    <w:p w14:paraId="1B62361E" w14:textId="7DDFD769" w:rsidR="005D1D6C" w:rsidRPr="005D1D6C" w:rsidRDefault="005D1D6C" w:rsidP="002336E3">
      <w:pPr>
        <w:numPr>
          <w:ilvl w:val="1"/>
          <w:numId w:val="18"/>
        </w:numPr>
        <w:spacing w:after="0"/>
      </w:pPr>
      <w:r w:rsidRPr="005D1D6C">
        <w:t>Committee P</w:t>
      </w:r>
      <w:r w:rsidRPr="005D1D6C">
        <w:noBreakHyphen/>
        <w:t>130 manages encouragement and rally support.</w:t>
      </w:r>
    </w:p>
    <w:p w14:paraId="21C2D28D" w14:textId="24995997" w:rsidR="005D1D6C" w:rsidRPr="005D1D6C" w:rsidRDefault="005D1D6C" w:rsidP="002336E3">
      <w:pPr>
        <w:pStyle w:val="Heading1"/>
      </w:pPr>
      <w:r w:rsidRPr="005D1D6C">
        <w:t>Curriculum Discussion</w:t>
      </w:r>
      <w:r w:rsidR="004368E1">
        <w:t xml:space="preserve"> of Ag/Bio Engineering BS Programs</w:t>
      </w:r>
      <w:r w:rsidR="002336E3">
        <w:t xml:space="preserve"> (US)</w:t>
      </w:r>
      <w:r w:rsidR="004368E1">
        <w:t xml:space="preserve"> – Amy Kaleita</w:t>
      </w:r>
    </w:p>
    <w:p w14:paraId="4A1420CC" w14:textId="23F45DC4" w:rsidR="005D1D6C" w:rsidRPr="005D1D6C" w:rsidRDefault="004368E1" w:rsidP="002336E3">
      <w:pPr>
        <w:spacing w:after="0"/>
        <w:ind w:left="360"/>
      </w:pPr>
      <w:r>
        <w:rPr>
          <w:i/>
          <w:iCs/>
        </w:rPr>
        <w:t>S</w:t>
      </w:r>
      <w:r w:rsidR="005D1D6C" w:rsidRPr="005D1D6C">
        <w:rPr>
          <w:i/>
          <w:iCs/>
        </w:rPr>
        <w:t xml:space="preserve">ee </w:t>
      </w:r>
      <w:r w:rsidR="001B6EFA">
        <w:rPr>
          <w:i/>
          <w:iCs/>
        </w:rPr>
        <w:t>Appendix</w:t>
      </w:r>
    </w:p>
    <w:p w14:paraId="013B0715" w14:textId="087056C1" w:rsidR="005D1D6C" w:rsidRPr="005D1D6C" w:rsidRDefault="004368E1" w:rsidP="002336E3">
      <w:pPr>
        <w:spacing w:after="0"/>
        <w:ind w:left="360"/>
      </w:pPr>
      <w:r>
        <w:t>Discussion themes:</w:t>
      </w:r>
    </w:p>
    <w:p w14:paraId="508B635B" w14:textId="77169702" w:rsidR="005D1D6C" w:rsidRPr="005D1D6C" w:rsidRDefault="004368E1" w:rsidP="002336E3">
      <w:pPr>
        <w:numPr>
          <w:ilvl w:val="0"/>
          <w:numId w:val="19"/>
        </w:numPr>
        <w:spacing w:after="0"/>
      </w:pPr>
      <w:r>
        <w:rPr>
          <w:b/>
          <w:bCs/>
        </w:rPr>
        <w:t>Analysis was US-only</w:t>
      </w:r>
    </w:p>
    <w:p w14:paraId="6492FDA1" w14:textId="34266BBA" w:rsidR="005D1D6C" w:rsidRDefault="005D1D6C" w:rsidP="002336E3">
      <w:pPr>
        <w:numPr>
          <w:ilvl w:val="1"/>
          <w:numId w:val="19"/>
        </w:numPr>
        <w:spacing w:after="0"/>
      </w:pPr>
      <w:r w:rsidRPr="005D1D6C">
        <w:t>Consider global framing rather than only U.S. context</w:t>
      </w:r>
      <w:r w:rsidR="004368E1">
        <w:t>; would likely see different or additional trends</w:t>
      </w:r>
    </w:p>
    <w:p w14:paraId="2533EC19" w14:textId="53F54CAE" w:rsidR="004368E1" w:rsidRPr="005D1D6C" w:rsidRDefault="004368E1" w:rsidP="002336E3">
      <w:pPr>
        <w:numPr>
          <w:ilvl w:val="1"/>
          <w:numId w:val="19"/>
        </w:numPr>
        <w:spacing w:after="0"/>
      </w:pPr>
      <w:r w:rsidRPr="005D1D6C">
        <w:t>In Germany, duplication of course content across universities is prohibited; programs remain unique by design.</w:t>
      </w:r>
    </w:p>
    <w:p w14:paraId="7823B488" w14:textId="77777777" w:rsidR="005D1D6C" w:rsidRPr="005D1D6C" w:rsidRDefault="005D1D6C" w:rsidP="002336E3">
      <w:pPr>
        <w:numPr>
          <w:ilvl w:val="0"/>
          <w:numId w:val="19"/>
        </w:numPr>
        <w:spacing w:after="0"/>
      </w:pPr>
      <w:r w:rsidRPr="005D1D6C">
        <w:rPr>
          <w:b/>
          <w:bCs/>
        </w:rPr>
        <w:t>Internal vs. Shared Engineering Core</w:t>
      </w:r>
    </w:p>
    <w:p w14:paraId="0CD1C7DC" w14:textId="77777777" w:rsidR="005D1D6C" w:rsidRPr="005D1D6C" w:rsidRDefault="005D1D6C" w:rsidP="002336E3">
      <w:pPr>
        <w:numPr>
          <w:ilvl w:val="1"/>
          <w:numId w:val="19"/>
        </w:numPr>
        <w:spacing w:after="0"/>
      </w:pPr>
      <w:r w:rsidRPr="005D1D6C">
        <w:t>Challenges arise when core is shared across majors vs. developed within a department.</w:t>
      </w:r>
    </w:p>
    <w:p w14:paraId="66ECFF89" w14:textId="77777777" w:rsidR="005D1D6C" w:rsidRPr="005D1D6C" w:rsidRDefault="005D1D6C" w:rsidP="002336E3">
      <w:pPr>
        <w:numPr>
          <w:ilvl w:val="0"/>
          <w:numId w:val="19"/>
        </w:numPr>
        <w:spacing w:after="0"/>
      </w:pPr>
      <w:r w:rsidRPr="005D1D6C">
        <w:rPr>
          <w:b/>
          <w:bCs/>
        </w:rPr>
        <w:lastRenderedPageBreak/>
        <w:t>ABET Considerations</w:t>
      </w:r>
    </w:p>
    <w:p w14:paraId="2D1428F3" w14:textId="54D977A9" w:rsidR="005D1D6C" w:rsidRPr="005D1D6C" w:rsidRDefault="005D1D6C" w:rsidP="002336E3">
      <w:pPr>
        <w:numPr>
          <w:ilvl w:val="1"/>
          <w:numId w:val="19"/>
        </w:numPr>
        <w:spacing w:after="0"/>
      </w:pPr>
      <w:r w:rsidRPr="005D1D6C">
        <w:t xml:space="preserve">Ecological Engineering </w:t>
      </w:r>
      <w:r w:rsidR="004368E1">
        <w:t>has very</w:t>
      </w:r>
      <w:r w:rsidRPr="005D1D6C">
        <w:t xml:space="preserve"> specific program criteria</w:t>
      </w:r>
      <w:r w:rsidR="004368E1">
        <w:t xml:space="preserve"> and this makes preserving ASABE-type disciplinary identity difficult – hard to make space for both within credit limits</w:t>
      </w:r>
      <w:r w:rsidRPr="005D1D6C">
        <w:t>.</w:t>
      </w:r>
    </w:p>
    <w:p w14:paraId="7BC55976" w14:textId="5B36C4FB" w:rsidR="00B92591" w:rsidRPr="00B92591" w:rsidRDefault="005D1D6C" w:rsidP="002336E3">
      <w:pPr>
        <w:pStyle w:val="Heading1"/>
      </w:pPr>
      <w:r w:rsidRPr="005D1D6C">
        <w:t>Department Updates</w:t>
      </w:r>
      <w:r w:rsidR="00B92591">
        <w:t xml:space="preserve"> </w:t>
      </w:r>
    </w:p>
    <w:p w14:paraId="3BB4FA6B" w14:textId="77777777" w:rsidR="005D1D6C" w:rsidRPr="005D1D6C" w:rsidRDefault="005D1D6C" w:rsidP="002336E3">
      <w:pPr>
        <w:pStyle w:val="Heading1"/>
      </w:pPr>
      <w:r w:rsidRPr="005D1D6C">
        <w:t>Adjournment</w:t>
      </w:r>
    </w:p>
    <w:p w14:paraId="334099CA" w14:textId="5A3F348B" w:rsidR="005B378D" w:rsidRDefault="005D1D6C" w:rsidP="002336E3">
      <w:pPr>
        <w:spacing w:after="0"/>
      </w:pPr>
      <w:r w:rsidRPr="005D1D6C">
        <w:t xml:space="preserve">Meeting concluded </w:t>
      </w:r>
      <w:r w:rsidR="004368E1">
        <w:t>at 1:40 pm</w:t>
      </w:r>
      <w:r w:rsidRPr="005D1D6C">
        <w:t>.</w:t>
      </w:r>
    </w:p>
    <w:p w14:paraId="6276129B" w14:textId="77777777" w:rsidR="002336E3" w:rsidRDefault="002336E3" w:rsidP="002336E3">
      <w:pPr>
        <w:spacing w:after="0"/>
      </w:pPr>
    </w:p>
    <w:p w14:paraId="3ECCD3CF" w14:textId="70BDF3A7" w:rsidR="002336E3" w:rsidRDefault="002336E3" w:rsidP="002336E3">
      <w:pPr>
        <w:pStyle w:val="Heading1"/>
      </w:pPr>
      <w:r>
        <w:t>Appendi</w:t>
      </w:r>
      <w:r w:rsidR="001B6EFA">
        <w:t>ces</w:t>
      </w:r>
    </w:p>
    <w:p w14:paraId="79EC53B5" w14:textId="77777777" w:rsidR="001B6EFA" w:rsidRDefault="001B6EFA" w:rsidP="002336E3">
      <w:pPr>
        <w:pStyle w:val="Heading2"/>
      </w:pPr>
      <w:r>
        <w:t>Attendee List</w:t>
      </w:r>
    </w:p>
    <w:p w14:paraId="32C8F890" w14:textId="656BF6EA" w:rsidR="002336E3" w:rsidRDefault="001B6EFA" w:rsidP="001B6EFA">
      <w:pPr>
        <w:ind w:left="360"/>
      </w:pPr>
      <w:r>
        <w:t xml:space="preserve"> </w:t>
      </w:r>
      <w:r>
        <w:object w:dxaOrig="1539" w:dyaOrig="997" w14:anchorId="6D17BF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5" o:title=""/>
          </v:shape>
          <o:OLEObject Type="Embed" ProgID="Excel.Sheet.12" ShapeID="_x0000_i1025" DrawAspect="Icon" ObjectID="_1833466926" r:id="rId6"/>
        </w:object>
      </w:r>
    </w:p>
    <w:p w14:paraId="3DC746BB" w14:textId="355676A0" w:rsidR="002336E3" w:rsidRDefault="002336E3" w:rsidP="002336E3">
      <w:pPr>
        <w:pStyle w:val="Heading2"/>
      </w:pPr>
      <w:r>
        <w:t xml:space="preserve">US Curriculum Analysis </w:t>
      </w:r>
    </w:p>
    <w:p w14:paraId="2F245F8F" w14:textId="782D74D0" w:rsidR="001B6EFA" w:rsidRDefault="001B6EFA" w:rsidP="001B6EFA">
      <w:pPr>
        <w:ind w:left="360"/>
      </w:pPr>
      <w:r>
        <w:object w:dxaOrig="1539" w:dyaOrig="997" w14:anchorId="02E74428">
          <v:shape id="_x0000_i1026" type="#_x0000_t75" style="width:77.25pt;height:49.5pt" o:ole="">
            <v:imagedata r:id="rId7" o:title=""/>
          </v:shape>
          <o:OLEObject Type="Embed" ProgID="PowerPoint.Show.12" ShapeID="_x0000_i1026" DrawAspect="Icon" ObjectID="_1833466927" r:id="rId8"/>
        </w:object>
      </w:r>
    </w:p>
    <w:p w14:paraId="5F0B1E64" w14:textId="65B1B3CB" w:rsidR="0015511E" w:rsidRPr="001B6EFA" w:rsidRDefault="009F1BAC" w:rsidP="001B6EFA">
      <w:pPr>
        <w:ind w:left="360"/>
      </w:pPr>
      <w:r>
        <w:object w:dxaOrig="1539" w:dyaOrig="997" w14:anchorId="6C4DF0CE">
          <v:shape id="_x0000_i1027" type="#_x0000_t75" style="width:77.25pt;height:49.5pt" o:ole="">
            <v:imagedata r:id="rId9" o:title=""/>
          </v:shape>
          <o:OLEObject Type="Embed" ProgID="Excel.Sheet.12" ShapeID="_x0000_i1027" DrawAspect="Icon" ObjectID="_1833466928" r:id="rId10"/>
        </w:object>
      </w:r>
    </w:p>
    <w:sectPr w:rsidR="0015511E" w:rsidRPr="001B6E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E1A42"/>
    <w:multiLevelType w:val="multilevel"/>
    <w:tmpl w:val="F258B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1303F9"/>
    <w:multiLevelType w:val="multilevel"/>
    <w:tmpl w:val="453C8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FF71CE"/>
    <w:multiLevelType w:val="multilevel"/>
    <w:tmpl w:val="9D24F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D32088"/>
    <w:multiLevelType w:val="multilevel"/>
    <w:tmpl w:val="56183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C549DD"/>
    <w:multiLevelType w:val="multilevel"/>
    <w:tmpl w:val="F5069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5B3380"/>
    <w:multiLevelType w:val="multilevel"/>
    <w:tmpl w:val="087E4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BF307D"/>
    <w:multiLevelType w:val="multilevel"/>
    <w:tmpl w:val="D514F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836F03"/>
    <w:multiLevelType w:val="multilevel"/>
    <w:tmpl w:val="0D0E1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8C2325"/>
    <w:multiLevelType w:val="multilevel"/>
    <w:tmpl w:val="0CB86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A71170"/>
    <w:multiLevelType w:val="multilevel"/>
    <w:tmpl w:val="72301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553FCA"/>
    <w:multiLevelType w:val="multilevel"/>
    <w:tmpl w:val="E766F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AC2C76"/>
    <w:multiLevelType w:val="multilevel"/>
    <w:tmpl w:val="AC2A4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1C5595"/>
    <w:multiLevelType w:val="multilevel"/>
    <w:tmpl w:val="E4D07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DB68C5"/>
    <w:multiLevelType w:val="multilevel"/>
    <w:tmpl w:val="15745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884576"/>
    <w:multiLevelType w:val="multilevel"/>
    <w:tmpl w:val="1506D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56D748F"/>
    <w:multiLevelType w:val="hybridMultilevel"/>
    <w:tmpl w:val="C1C07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5249C5"/>
    <w:multiLevelType w:val="multilevel"/>
    <w:tmpl w:val="9E522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087CF2"/>
    <w:multiLevelType w:val="multilevel"/>
    <w:tmpl w:val="390CE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BE415C"/>
    <w:multiLevelType w:val="multilevel"/>
    <w:tmpl w:val="5AA4D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7FB630B"/>
    <w:multiLevelType w:val="multilevel"/>
    <w:tmpl w:val="F71ED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D3F4629"/>
    <w:multiLevelType w:val="multilevel"/>
    <w:tmpl w:val="B48E5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56118D"/>
    <w:multiLevelType w:val="hybridMultilevel"/>
    <w:tmpl w:val="110AFC4E"/>
    <w:lvl w:ilvl="0" w:tplc="E5C8CFCA">
      <w:start w:val="1"/>
      <w:numFmt w:val="decimal"/>
      <w:pStyle w:val="Heading1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F5E075D"/>
    <w:multiLevelType w:val="multilevel"/>
    <w:tmpl w:val="4A0E8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1082537">
    <w:abstractNumId w:val="20"/>
  </w:num>
  <w:num w:numId="2" w16cid:durableId="1308243365">
    <w:abstractNumId w:val="18"/>
  </w:num>
  <w:num w:numId="3" w16cid:durableId="174808372">
    <w:abstractNumId w:val="8"/>
  </w:num>
  <w:num w:numId="4" w16cid:durableId="1101534930">
    <w:abstractNumId w:val="13"/>
  </w:num>
  <w:num w:numId="5" w16cid:durableId="1801994878">
    <w:abstractNumId w:val="6"/>
  </w:num>
  <w:num w:numId="6" w16cid:durableId="1127892244">
    <w:abstractNumId w:val="5"/>
  </w:num>
  <w:num w:numId="7" w16cid:durableId="1961178573">
    <w:abstractNumId w:val="14"/>
  </w:num>
  <w:num w:numId="8" w16cid:durableId="1432164039">
    <w:abstractNumId w:val="12"/>
  </w:num>
  <w:num w:numId="9" w16cid:durableId="259681526">
    <w:abstractNumId w:val="1"/>
  </w:num>
  <w:num w:numId="10" w16cid:durableId="1990667790">
    <w:abstractNumId w:val="17"/>
  </w:num>
  <w:num w:numId="11" w16cid:durableId="259610499">
    <w:abstractNumId w:val="3"/>
  </w:num>
  <w:num w:numId="12" w16cid:durableId="1007244333">
    <w:abstractNumId w:val="2"/>
  </w:num>
  <w:num w:numId="13" w16cid:durableId="1738431040">
    <w:abstractNumId w:val="0"/>
  </w:num>
  <w:num w:numId="14" w16cid:durableId="1717897532">
    <w:abstractNumId w:val="4"/>
  </w:num>
  <w:num w:numId="15" w16cid:durableId="1670719635">
    <w:abstractNumId w:val="19"/>
  </w:num>
  <w:num w:numId="16" w16cid:durableId="1899169502">
    <w:abstractNumId w:val="10"/>
  </w:num>
  <w:num w:numId="17" w16cid:durableId="1510946075">
    <w:abstractNumId w:val="7"/>
  </w:num>
  <w:num w:numId="18" w16cid:durableId="108477105">
    <w:abstractNumId w:val="22"/>
  </w:num>
  <w:num w:numId="19" w16cid:durableId="1898009656">
    <w:abstractNumId w:val="16"/>
  </w:num>
  <w:num w:numId="20" w16cid:durableId="1686903270">
    <w:abstractNumId w:val="11"/>
  </w:num>
  <w:num w:numId="21" w16cid:durableId="2098214065">
    <w:abstractNumId w:val="9"/>
  </w:num>
  <w:num w:numId="22" w16cid:durableId="1989940417">
    <w:abstractNumId w:val="15"/>
  </w:num>
  <w:num w:numId="23" w16cid:durableId="142248415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D6C"/>
    <w:rsid w:val="0015511E"/>
    <w:rsid w:val="00193ED7"/>
    <w:rsid w:val="001B6EFA"/>
    <w:rsid w:val="00222886"/>
    <w:rsid w:val="002336E3"/>
    <w:rsid w:val="00372E1A"/>
    <w:rsid w:val="004368E1"/>
    <w:rsid w:val="0056064A"/>
    <w:rsid w:val="005B378D"/>
    <w:rsid w:val="005D1D6C"/>
    <w:rsid w:val="005D77E7"/>
    <w:rsid w:val="006E33A5"/>
    <w:rsid w:val="00705B54"/>
    <w:rsid w:val="00710FCB"/>
    <w:rsid w:val="00763D17"/>
    <w:rsid w:val="009F1BAC"/>
    <w:rsid w:val="00B92591"/>
    <w:rsid w:val="00C8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D2E27"/>
  <w15:chartTrackingRefBased/>
  <w15:docId w15:val="{727A3667-E9E8-4283-9B74-5931DC0D8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36E3"/>
    <w:pPr>
      <w:keepNext/>
      <w:keepLines/>
      <w:numPr>
        <w:numId w:val="23"/>
      </w:numPr>
      <w:spacing w:before="12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36E3"/>
    <w:pPr>
      <w:spacing w:before="120" w:after="0"/>
      <w:ind w:firstLine="360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81B1E"/>
    <w:pPr>
      <w:ind w:firstLine="360"/>
      <w:outlineLvl w:val="2"/>
    </w:pPr>
    <w:rPr>
      <w:b/>
      <w:bCs/>
      <w:i/>
      <w:i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1D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1D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1D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1D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1D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1D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36E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336E3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C81B1E"/>
    <w:rPr>
      <w:b/>
      <w:bCs/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1D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1D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1D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1D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1D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1D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1D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1D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1D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1D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1D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1D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1D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1D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1D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1D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1D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PowerPoint_Presentation.pptx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Excel_Worksheet.xlsx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package" Target="embeddings/Microsoft_Excel_Worksheet1.xlsx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764</Words>
  <Characters>4674</Characters>
  <Application>Microsoft Office Word</Application>
  <DocSecurity>0</DocSecurity>
  <Lines>117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Iowa State University of Science and Technology</Company>
  <LinksUpToDate>false</LinksUpToDate>
  <CharactersWithSpaces>5406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Kaleita, Amy L [A&amp;BE]</dc:creator>
  <cp:keywords/>
  <dc:description/>
  <cp:lastModifiedBy>Muthukumarappan, Kasiviswanathan</cp:lastModifiedBy>
  <cp:revision>2</cp:revision>
  <dcterms:created xsi:type="dcterms:W3CDTF">2026-02-25T01:36:00Z</dcterms:created>
  <dcterms:modified xsi:type="dcterms:W3CDTF">2026-02-25T01:36:00Z</dcterms:modified>
</cp:coreProperties>
</file>