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balyqb90moh" w:id="0"/>
      <w:bookmarkEnd w:id="0"/>
      <w:r w:rsidDel="00000000" w:rsidR="00000000" w:rsidRPr="00000000">
        <w:rPr>
          <w:b w:val="1"/>
          <w:bCs w:val="1"/>
          <w:sz w:val="46"/>
          <w:szCs w:val="46"/>
          <w:rtl w:val="0"/>
        </w:rPr>
        <w:t xml:space="preserve">S1087 Fall 2025 Meeting Minutes — Draft </w:t>
      </w:r>
    </w:p>
    <w:p w:rsidR="00000000" w:rsidDel="00000000" w:rsidP="00000000" w:rsidRDefault="00000000" w:rsidRPr="00000000" w14:paraId="00000002">
      <w:pPr>
        <w:spacing w:after="240" w:before="240" w:lineRule="auto"/>
        <w:rPr/>
      </w:pPr>
      <w:r w:rsidDel="00000000" w:rsidR="00000000" w:rsidRPr="00000000">
        <w:rPr>
          <w:rtl w:val="0"/>
        </w:rPr>
        <w:t xml:space="preserve">Date: Friday, August 29, 2025 (Central Time)</w:t>
      </w:r>
    </w:p>
    <w:p w:rsidR="00000000" w:rsidDel="00000000" w:rsidP="00000000" w:rsidRDefault="00000000" w:rsidRPr="00000000" w14:paraId="00000003">
      <w:pPr>
        <w:spacing w:after="240" w:before="240" w:lineRule="auto"/>
        <w:rPr/>
      </w:pPr>
      <w:r w:rsidDel="00000000" w:rsidR="00000000" w:rsidRPr="00000000">
        <w:rPr>
          <w:rtl w:val="0"/>
        </w:rPr>
        <w:t xml:space="preserve">Format: Hybrid (in‑person with online participation)</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7u5gjdl0lj0" w:id="1"/>
      <w:bookmarkEnd w:id="1"/>
      <w:r w:rsidDel="00000000" w:rsidR="00000000" w:rsidRPr="00000000">
        <w:rPr>
          <w:b w:val="1"/>
          <w:bCs w:val="1"/>
          <w:sz w:val="34"/>
          <w:szCs w:val="34"/>
          <w:rtl w:val="0"/>
        </w:rPr>
        <w:t xml:space="preserve">1. Call to Order and Introductions (8:30 AM)</w:t>
      </w:r>
    </w:p>
    <w:p w:rsidR="00000000" w:rsidDel="00000000" w:rsidP="00000000" w:rsidRDefault="00000000" w:rsidRPr="00000000" w14:paraId="00000006">
      <w:pPr>
        <w:spacing w:after="240" w:before="240" w:lineRule="auto"/>
        <w:rPr/>
      </w:pPr>
      <w:r w:rsidDel="00000000" w:rsidR="00000000" w:rsidRPr="00000000">
        <w:rPr>
          <w:rtl w:val="0"/>
        </w:rPr>
        <w:t xml:space="preserve">Chair Melinda Knuth called the business meeting to order at 8:30 AM. Attendees introduced themselves.</w:t>
      </w:r>
    </w:p>
    <w:p w:rsidR="00000000" w:rsidDel="00000000" w:rsidP="00000000" w:rsidRDefault="00000000" w:rsidRPr="00000000" w14:paraId="00000007">
      <w:pPr>
        <w:spacing w:after="240" w:before="240" w:lineRule="auto"/>
        <w:rPr/>
      </w:pPr>
      <w:r w:rsidDel="00000000" w:rsidR="00000000" w:rsidRPr="00000000">
        <w:rPr>
          <w:rtl w:val="0"/>
        </w:rPr>
        <w:t xml:space="preserve">Attendees (in person):</w:t>
      </w:r>
    </w:p>
    <w:p w:rsidR="00000000" w:rsidDel="00000000" w:rsidP="00000000" w:rsidRDefault="00000000" w:rsidRPr="00000000" w14:paraId="00000008">
      <w:pPr>
        <w:numPr>
          <w:ilvl w:val="0"/>
          <w:numId w:val="13"/>
        </w:numPr>
        <w:spacing w:after="0" w:afterAutospacing="0" w:before="240" w:lineRule="auto"/>
        <w:ind w:left="720" w:hanging="360"/>
      </w:pPr>
      <w:r w:rsidDel="00000000" w:rsidR="00000000" w:rsidRPr="00000000">
        <w:rPr>
          <w:rtl w:val="0"/>
        </w:rPr>
        <w:t xml:space="preserve">Melinda Knuth (North Carolina State University, Chair)</w:t>
        <w:br w:type="textWrapping"/>
      </w:r>
    </w:p>
    <w:p w:rsidR="00000000" w:rsidDel="00000000" w:rsidP="00000000" w:rsidRDefault="00000000" w:rsidRPr="00000000" w14:paraId="00000009">
      <w:pPr>
        <w:numPr>
          <w:ilvl w:val="0"/>
          <w:numId w:val="13"/>
        </w:numPr>
        <w:spacing w:after="0" w:afterAutospacing="0" w:before="0" w:beforeAutospacing="0" w:lineRule="auto"/>
        <w:ind w:left="720" w:hanging="360"/>
      </w:pPr>
      <w:r w:rsidDel="00000000" w:rsidR="00000000" w:rsidRPr="00000000">
        <w:rPr>
          <w:rtl w:val="0"/>
        </w:rPr>
        <w:t xml:space="preserve">Daniel Tregeagle (North Carolina State University, Secretary)</w:t>
        <w:br w:type="textWrapping"/>
      </w:r>
    </w:p>
    <w:p w:rsidR="00000000" w:rsidDel="00000000" w:rsidP="00000000" w:rsidRDefault="00000000" w:rsidRPr="00000000" w14:paraId="0000000A">
      <w:pPr>
        <w:numPr>
          <w:ilvl w:val="0"/>
          <w:numId w:val="13"/>
        </w:numPr>
        <w:spacing w:after="0" w:afterAutospacing="0" w:before="0" w:beforeAutospacing="0" w:lineRule="auto"/>
        <w:ind w:left="720" w:hanging="360"/>
      </w:pPr>
      <w:r w:rsidDel="00000000" w:rsidR="00000000" w:rsidRPr="00000000">
        <w:rPr>
          <w:rtl w:val="0"/>
        </w:rPr>
        <w:t xml:space="preserve">Guil Signorini (Ohio State University)</w:t>
        <w:br w:type="textWrapping"/>
      </w:r>
    </w:p>
    <w:p w:rsidR="00000000" w:rsidDel="00000000" w:rsidP="00000000" w:rsidRDefault="00000000" w:rsidRPr="00000000" w14:paraId="0000000B">
      <w:pPr>
        <w:numPr>
          <w:ilvl w:val="0"/>
          <w:numId w:val="13"/>
        </w:numPr>
        <w:spacing w:after="0" w:afterAutospacing="0" w:before="0" w:beforeAutospacing="0" w:lineRule="auto"/>
        <w:ind w:left="720" w:hanging="360"/>
      </w:pPr>
      <w:r w:rsidDel="00000000" w:rsidR="00000000" w:rsidRPr="00000000">
        <w:rPr>
          <w:rtl w:val="0"/>
        </w:rPr>
        <w:t xml:space="preserve">Hayk Katchatryan (University of Florida)</w:t>
        <w:br w:type="textWrapping"/>
      </w:r>
    </w:p>
    <w:p w:rsidR="00000000" w:rsidDel="00000000" w:rsidP="00000000" w:rsidRDefault="00000000" w:rsidRPr="00000000" w14:paraId="0000000C">
      <w:pPr>
        <w:numPr>
          <w:ilvl w:val="0"/>
          <w:numId w:val="13"/>
        </w:numPr>
        <w:spacing w:after="0" w:afterAutospacing="0" w:before="0" w:beforeAutospacing="0" w:lineRule="auto"/>
        <w:ind w:left="720" w:hanging="360"/>
      </w:pPr>
      <w:r w:rsidDel="00000000" w:rsidR="00000000" w:rsidRPr="00000000">
        <w:rPr>
          <w:rtl w:val="0"/>
        </w:rPr>
        <w:t xml:space="preserve">Marvin Miller (Ball Horticultural Company)</w:t>
        <w:br w:type="textWrapping"/>
      </w:r>
    </w:p>
    <w:p w:rsidR="00000000" w:rsidDel="00000000" w:rsidP="00000000" w:rsidRDefault="00000000" w:rsidRPr="00000000" w14:paraId="0000000D">
      <w:pPr>
        <w:numPr>
          <w:ilvl w:val="0"/>
          <w:numId w:val="13"/>
        </w:numPr>
        <w:spacing w:after="0" w:afterAutospacing="0" w:before="0" w:beforeAutospacing="0" w:lineRule="auto"/>
        <w:ind w:left="720" w:hanging="360"/>
      </w:pPr>
      <w:r w:rsidDel="00000000" w:rsidR="00000000" w:rsidRPr="00000000">
        <w:rPr>
          <w:rtl w:val="0"/>
        </w:rPr>
        <w:t xml:space="preserve">Alicia Rihn (University of Tennessee)</w:t>
        <w:br w:type="textWrapping"/>
      </w:r>
    </w:p>
    <w:p w:rsidR="00000000" w:rsidDel="00000000" w:rsidP="00000000" w:rsidRDefault="00000000" w:rsidRPr="00000000" w14:paraId="0000000E">
      <w:pPr>
        <w:numPr>
          <w:ilvl w:val="0"/>
          <w:numId w:val="13"/>
        </w:numPr>
        <w:spacing w:after="0" w:afterAutospacing="0" w:before="0" w:beforeAutospacing="0" w:lineRule="auto"/>
        <w:ind w:left="720" w:hanging="360"/>
      </w:pPr>
      <w:r w:rsidDel="00000000" w:rsidR="00000000" w:rsidRPr="00000000">
        <w:rPr>
          <w:rtl w:val="0"/>
        </w:rPr>
        <w:t xml:space="preserve">Julie Cambpell (University of Georgia)</w:t>
        <w:br w:type="textWrapping"/>
      </w:r>
    </w:p>
    <w:p w:rsidR="00000000" w:rsidDel="00000000" w:rsidP="00000000" w:rsidRDefault="00000000" w:rsidRPr="00000000" w14:paraId="0000000F">
      <w:pPr>
        <w:numPr>
          <w:ilvl w:val="0"/>
          <w:numId w:val="13"/>
        </w:numPr>
        <w:spacing w:after="0" w:afterAutospacing="0" w:before="0" w:beforeAutospacing="0" w:lineRule="auto"/>
        <w:ind w:left="720" w:hanging="360"/>
      </w:pPr>
      <w:r w:rsidDel="00000000" w:rsidR="00000000" w:rsidRPr="00000000">
        <w:rPr>
          <w:rtl w:val="0"/>
        </w:rPr>
        <w:t xml:space="preserve">Charlie Hall (Texas A&amp;M University)</w:t>
        <w:br w:type="textWrapping"/>
      </w:r>
    </w:p>
    <w:p w:rsidR="00000000" w:rsidDel="00000000" w:rsidP="00000000" w:rsidRDefault="00000000" w:rsidRPr="00000000" w14:paraId="00000010">
      <w:pPr>
        <w:numPr>
          <w:ilvl w:val="0"/>
          <w:numId w:val="13"/>
        </w:numPr>
        <w:spacing w:after="240" w:before="0" w:beforeAutospacing="0" w:lineRule="auto"/>
        <w:ind w:left="720" w:hanging="360"/>
      </w:pPr>
      <w:r w:rsidDel="00000000" w:rsidR="00000000" w:rsidRPr="00000000">
        <w:rPr>
          <w:rtl w:val="0"/>
        </w:rPr>
        <w:t xml:space="preserve">Ariana Torres (Purdue University)</w:t>
        <w:br w:type="textWrapping"/>
      </w:r>
    </w:p>
    <w:p w:rsidR="00000000" w:rsidDel="00000000" w:rsidP="00000000" w:rsidRDefault="00000000" w:rsidRPr="00000000" w14:paraId="00000011">
      <w:pPr>
        <w:spacing w:after="240" w:before="240" w:lineRule="auto"/>
        <w:rPr/>
      </w:pPr>
      <w:r w:rsidDel="00000000" w:rsidR="00000000" w:rsidRPr="00000000">
        <w:rPr>
          <w:rtl w:val="0"/>
        </w:rPr>
        <w:t xml:space="preserve">Attendees (online):</w:t>
      </w:r>
    </w:p>
    <w:p w:rsidR="00000000" w:rsidDel="00000000" w:rsidP="00000000" w:rsidRDefault="00000000" w:rsidRPr="00000000" w14:paraId="00000012">
      <w:pPr>
        <w:numPr>
          <w:ilvl w:val="0"/>
          <w:numId w:val="6"/>
        </w:numPr>
        <w:spacing w:after="0" w:afterAutospacing="0" w:before="240" w:lineRule="auto"/>
        <w:ind w:left="720" w:hanging="360"/>
      </w:pPr>
      <w:r w:rsidDel="00000000" w:rsidR="00000000" w:rsidRPr="00000000">
        <w:rPr>
          <w:rtl w:val="0"/>
        </w:rPr>
        <w:t xml:space="preserve">Chengyan Yue (University of Minnesota)</w:t>
        <w:br w:type="textWrapping"/>
      </w:r>
    </w:p>
    <w:p w:rsidR="00000000" w:rsidDel="00000000" w:rsidP="00000000" w:rsidRDefault="00000000" w:rsidRPr="00000000" w14:paraId="00000013">
      <w:pPr>
        <w:numPr>
          <w:ilvl w:val="0"/>
          <w:numId w:val="6"/>
        </w:numPr>
        <w:spacing w:after="0" w:afterAutospacing="0" w:before="0" w:beforeAutospacing="0" w:lineRule="auto"/>
        <w:ind w:left="720" w:hanging="360"/>
      </w:pPr>
      <w:r w:rsidDel="00000000" w:rsidR="00000000" w:rsidRPr="00000000">
        <w:rPr>
          <w:rtl w:val="0"/>
        </w:rPr>
        <w:t xml:space="preserve">Simone Valle de Souza (Michigan State University)</w:t>
        <w:br w:type="textWrapping"/>
      </w:r>
    </w:p>
    <w:p w:rsidR="00000000" w:rsidDel="00000000" w:rsidP="00000000" w:rsidRDefault="00000000" w:rsidRPr="00000000" w14:paraId="00000014">
      <w:pPr>
        <w:numPr>
          <w:ilvl w:val="0"/>
          <w:numId w:val="6"/>
        </w:numPr>
        <w:spacing w:after="0" w:afterAutospacing="0" w:before="0" w:beforeAutospacing="0" w:lineRule="auto"/>
        <w:ind w:left="720" w:hanging="360"/>
      </w:pPr>
      <w:r w:rsidDel="00000000" w:rsidR="00000000" w:rsidRPr="00000000">
        <w:rPr>
          <w:rtl w:val="0"/>
        </w:rPr>
        <w:t xml:space="preserve">Jen Grey (AmericanHort)</w:t>
        <w:br w:type="textWrapping"/>
      </w:r>
    </w:p>
    <w:p w:rsidR="00000000" w:rsidDel="00000000" w:rsidP="00000000" w:rsidRDefault="00000000" w:rsidRPr="00000000" w14:paraId="00000015">
      <w:pPr>
        <w:numPr>
          <w:ilvl w:val="0"/>
          <w:numId w:val="6"/>
        </w:numPr>
        <w:spacing w:after="0" w:afterAutospacing="0" w:before="0" w:beforeAutospacing="0" w:lineRule="auto"/>
        <w:ind w:left="720" w:hanging="360"/>
      </w:pPr>
      <w:r w:rsidDel="00000000" w:rsidR="00000000" w:rsidRPr="00000000">
        <w:rPr>
          <w:rtl w:val="0"/>
        </w:rPr>
        <w:t xml:space="preserve">Cheryl Boyer (Kansas State University)</w:t>
        <w:br w:type="textWrapping"/>
      </w:r>
    </w:p>
    <w:p w:rsidR="00000000" w:rsidDel="00000000" w:rsidP="00000000" w:rsidRDefault="00000000" w:rsidRPr="00000000" w14:paraId="00000016">
      <w:pPr>
        <w:numPr>
          <w:ilvl w:val="0"/>
          <w:numId w:val="6"/>
        </w:numPr>
        <w:spacing w:after="240" w:before="0" w:beforeAutospacing="0" w:lineRule="auto"/>
        <w:ind w:left="720" w:hanging="360"/>
      </w:pPr>
      <w:r w:rsidDel="00000000" w:rsidR="00000000" w:rsidRPr="00000000">
        <w:rPr>
          <w:rtl w:val="0"/>
        </w:rPr>
        <w:t xml:space="preserve">Alan Hodges (University of Florida)</w:t>
        <w:br w:type="textWrapping"/>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waih1ib5g26" w:id="2"/>
      <w:bookmarkEnd w:id="2"/>
      <w:r w:rsidDel="00000000" w:rsidR="00000000" w:rsidRPr="00000000">
        <w:rPr>
          <w:b w:val="1"/>
          <w:bCs w:val="1"/>
          <w:sz w:val="34"/>
          <w:szCs w:val="34"/>
          <w:rtl w:val="0"/>
        </w:rPr>
        <w:t xml:space="preserve">2. Approval of Agenda and Minutes of Previous Meeting</w:t>
      </w:r>
    </w:p>
    <w:p w:rsidR="00000000" w:rsidDel="00000000" w:rsidP="00000000" w:rsidRDefault="00000000" w:rsidRPr="00000000" w14:paraId="00000019">
      <w:pPr>
        <w:spacing w:after="240" w:before="240" w:lineRule="auto"/>
        <w:rPr/>
      </w:pPr>
      <w:r w:rsidDel="00000000" w:rsidR="00000000" w:rsidRPr="00000000">
        <w:rPr>
          <w:rtl w:val="0"/>
        </w:rPr>
        <w:t xml:space="preserve">Motion: Charlie Hall moved to approve the agenda and prior minutes; Hayk Katchatryan seconded. Approved unanimously; no abstentions.</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r5z8s0dpxawz" w:id="3"/>
      <w:bookmarkEnd w:id="3"/>
      <w:r w:rsidDel="00000000" w:rsidR="00000000" w:rsidRPr="00000000">
        <w:rPr>
          <w:b w:val="1"/>
          <w:bCs w:val="1"/>
          <w:sz w:val="34"/>
          <w:szCs w:val="34"/>
          <w:rtl w:val="0"/>
        </w:rPr>
        <w:t xml:space="preserve">3. Administrative Advisor Comments — Tim Rials</w:t>
      </w:r>
    </w:p>
    <w:p w:rsidR="00000000" w:rsidDel="00000000" w:rsidP="00000000" w:rsidRDefault="00000000" w:rsidRPr="00000000" w14:paraId="0000001C">
      <w:pPr>
        <w:spacing w:after="240" w:before="240" w:lineRule="auto"/>
        <w:rPr/>
      </w:pPr>
      <w:r w:rsidDel="00000000" w:rsidR="00000000" w:rsidRPr="00000000">
        <w:rPr>
          <w:rtl w:val="0"/>
        </w:rPr>
        <w:t xml:space="preserve">Administrative Advisor Tim Rials was not present. No remarks were delivered.</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b2w8udidctc9" w:id="4"/>
      <w:bookmarkEnd w:id="4"/>
      <w:r w:rsidDel="00000000" w:rsidR="00000000" w:rsidRPr="00000000">
        <w:rPr>
          <w:b w:val="1"/>
          <w:bCs w:val="1"/>
          <w:sz w:val="34"/>
          <w:szCs w:val="34"/>
          <w:rtl w:val="0"/>
        </w:rPr>
        <w:t xml:space="preserve">4. Chair Comments — Melinda Knuth</w:t>
      </w:r>
    </w:p>
    <w:p w:rsidR="00000000" w:rsidDel="00000000" w:rsidP="00000000" w:rsidRDefault="00000000" w:rsidRPr="00000000" w14:paraId="0000001F">
      <w:pPr>
        <w:spacing w:after="240" w:before="240" w:lineRule="auto"/>
        <w:rPr/>
      </w:pPr>
      <w:r w:rsidDel="00000000" w:rsidR="00000000" w:rsidRPr="00000000">
        <w:rPr>
          <w:rtl w:val="0"/>
        </w:rPr>
        <w:t xml:space="preserve">The Chair summarized the group’s renewal status and expectations for the five‑year cycle, noting the mid‑term review in 2027 and the importance of documenting impact (not only outputs) in annual reporting. Members were reminded to complete their Appendix E entries and to prepare impact statements aligned with project objectives.</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Action items</w:t>
      </w:r>
    </w:p>
    <w:p w:rsidR="00000000" w:rsidDel="00000000" w:rsidP="00000000" w:rsidRDefault="00000000" w:rsidRPr="00000000" w14:paraId="00000021">
      <w:pPr>
        <w:numPr>
          <w:ilvl w:val="0"/>
          <w:numId w:val="10"/>
        </w:numPr>
        <w:spacing w:after="240" w:before="240" w:lineRule="auto"/>
        <w:ind w:left="720" w:hanging="360"/>
      </w:pPr>
      <w:r w:rsidDel="00000000" w:rsidR="00000000" w:rsidRPr="00000000">
        <w:rPr>
          <w:rtl w:val="0"/>
        </w:rPr>
        <w:t xml:space="preserve">All members: Complete/verify Appendix E entries and provide impact statements for annual reporting timelines.</w:t>
        <w:br w:type="textWrapping"/>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l97mxt0h6w3" w:id="5"/>
      <w:bookmarkEnd w:id="5"/>
      <w:r w:rsidDel="00000000" w:rsidR="00000000" w:rsidRPr="00000000">
        <w:rPr>
          <w:b w:val="1"/>
          <w:bCs w:val="1"/>
          <w:sz w:val="34"/>
          <w:szCs w:val="34"/>
          <w:rtl w:val="0"/>
        </w:rPr>
        <w:t xml:space="preserve">5. Update on Multi‑State Award in Research Application</w:t>
      </w:r>
    </w:p>
    <w:p w:rsidR="00000000" w:rsidDel="00000000" w:rsidP="00000000" w:rsidRDefault="00000000" w:rsidRPr="00000000" w14:paraId="00000024">
      <w:pPr>
        <w:spacing w:after="240" w:before="240" w:lineRule="auto"/>
        <w:rPr/>
      </w:pPr>
      <w:r w:rsidDel="00000000" w:rsidR="00000000" w:rsidRPr="00000000">
        <w:rPr>
          <w:rtl w:val="0"/>
        </w:rPr>
        <w:t xml:space="preserve">The group’s renewal was officially approved, following a prolonged review period. The Multi‑State Research Committee (MRC) emphasized that the mid‑term review (2027) will assess demonstrable progress relative to the prior five‑year cycle.</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Action items</w:t>
      </w:r>
    </w:p>
    <w:p w:rsidR="00000000" w:rsidDel="00000000" w:rsidP="00000000" w:rsidRDefault="00000000" w:rsidRPr="00000000" w14:paraId="00000026">
      <w:pPr>
        <w:numPr>
          <w:ilvl w:val="0"/>
          <w:numId w:val="11"/>
        </w:numPr>
        <w:spacing w:after="240" w:before="240" w:lineRule="auto"/>
        <w:ind w:left="720" w:hanging="360"/>
      </w:pPr>
      <w:r w:rsidDel="00000000" w:rsidR="00000000" w:rsidRPr="00000000">
        <w:rPr>
          <w:rtl w:val="0"/>
        </w:rPr>
        <w:t xml:space="preserve">Leadership and authors of annual reports: Ensure clear documentation of progress and impact relative to prior cycle.</w:t>
        <w:br w:type="textWrapping"/>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n4jc83kp1tg" w:id="6"/>
      <w:bookmarkEnd w:id="6"/>
      <w:r w:rsidDel="00000000" w:rsidR="00000000" w:rsidRPr="00000000">
        <w:rPr>
          <w:b w:val="1"/>
          <w:bCs w:val="1"/>
          <w:sz w:val="34"/>
          <w:szCs w:val="34"/>
          <w:rtl w:val="0"/>
        </w:rPr>
        <w:t xml:space="preserve">6. Update on 5‑Year Group NIMSS Reiteration (Number Retention)</w:t>
      </w:r>
    </w:p>
    <w:p w:rsidR="00000000" w:rsidDel="00000000" w:rsidP="00000000" w:rsidRDefault="00000000" w:rsidRPr="00000000" w14:paraId="00000029">
      <w:pPr>
        <w:spacing w:after="240" w:before="240" w:lineRule="auto"/>
        <w:rPr/>
      </w:pPr>
      <w:r w:rsidDel="00000000" w:rsidR="00000000" w:rsidRPr="00000000">
        <w:rPr>
          <w:rtl w:val="0"/>
        </w:rPr>
        <w:t xml:space="preserve">Under NIFA/NIMSS policy changes, S‑1087 will retain its number across iterations rather than receiving a new designation each cycle. Historical numbering changes were noted for context.</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5b4phs92bjhb" w:id="7"/>
      <w:bookmarkEnd w:id="7"/>
      <w:r w:rsidDel="00000000" w:rsidR="00000000" w:rsidRPr="00000000">
        <w:rPr>
          <w:b w:val="1"/>
          <w:bCs w:val="1"/>
          <w:sz w:val="34"/>
          <w:szCs w:val="34"/>
          <w:rtl w:val="0"/>
        </w:rPr>
        <w:t xml:space="preserve">7. Update on HRI Website Hosting</w:t>
      </w:r>
    </w:p>
    <w:p w:rsidR="00000000" w:rsidDel="00000000" w:rsidP="00000000" w:rsidRDefault="00000000" w:rsidRPr="00000000" w14:paraId="0000002C">
      <w:pPr>
        <w:spacing w:after="240" w:before="240" w:lineRule="auto"/>
        <w:rPr/>
      </w:pPr>
      <w:r w:rsidDel="00000000" w:rsidR="00000000" w:rsidRPr="00000000">
        <w:rPr>
          <w:rtl w:val="0"/>
        </w:rPr>
        <w:t xml:space="preserve">The group discussed member profile pages and content planning for the HRI‑hosted site.</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Action items</w:t>
      </w:r>
    </w:p>
    <w:p w:rsidR="00000000" w:rsidDel="00000000" w:rsidP="00000000" w:rsidRDefault="00000000" w:rsidRPr="00000000" w14:paraId="0000002E">
      <w:pPr>
        <w:numPr>
          <w:ilvl w:val="0"/>
          <w:numId w:val="2"/>
        </w:numPr>
        <w:spacing w:after="240" w:before="240" w:lineRule="auto"/>
        <w:ind w:left="720" w:hanging="360"/>
      </w:pPr>
      <w:r w:rsidDel="00000000" w:rsidR="00000000" w:rsidRPr="00000000">
        <w:rPr>
          <w:rtl w:val="0"/>
        </w:rPr>
        <w:t xml:space="preserve">All members: Send a preferred professional‑profile page link (e.g., institutional page) to Melinda Knuth for inclusion on member pages.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tur3en5cisk6" w:id="8"/>
      <w:bookmarkEnd w:id="8"/>
      <w:r w:rsidDel="00000000" w:rsidR="00000000" w:rsidRPr="00000000">
        <w:rPr>
          <w:b w:val="1"/>
          <w:bCs w:val="1"/>
          <w:sz w:val="34"/>
          <w:szCs w:val="34"/>
          <w:rtl w:val="0"/>
        </w:rPr>
        <w:t xml:space="preserve">8. 50th Anniversary of S1087 (Founded 1976)</w:t>
      </w:r>
    </w:p>
    <w:p w:rsidR="00000000" w:rsidDel="00000000" w:rsidP="00000000" w:rsidRDefault="00000000" w:rsidRPr="00000000" w14:paraId="00000031">
      <w:pPr>
        <w:spacing w:after="240" w:before="240" w:lineRule="auto"/>
        <w:rPr/>
      </w:pPr>
      <w:r w:rsidDel="00000000" w:rsidR="00000000" w:rsidRPr="00000000">
        <w:rPr>
          <w:rtl w:val="0"/>
        </w:rPr>
        <w:t xml:space="preserve">The upcoming 50th anniversary was highlighted as an opportunity for outreach and recognition.</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Action items</w:t>
      </w:r>
    </w:p>
    <w:p w:rsidR="00000000" w:rsidDel="00000000" w:rsidP="00000000" w:rsidRDefault="00000000" w:rsidRPr="00000000" w14:paraId="00000033">
      <w:pPr>
        <w:numPr>
          <w:ilvl w:val="0"/>
          <w:numId w:val="8"/>
        </w:numPr>
        <w:spacing w:after="0" w:afterAutospacing="0" w:before="240" w:lineRule="auto"/>
        <w:ind w:left="720" w:hanging="360"/>
      </w:pPr>
      <w:r w:rsidDel="00000000" w:rsidR="00000000" w:rsidRPr="00000000">
        <w:rPr>
          <w:rtl w:val="0"/>
        </w:rPr>
        <w:t xml:space="preserve">Communications subgroup (Chair to designate): Draft a brief communications/press template and coordinate collection of archival materials (photos, key milestones).</w:t>
        <w:br w:type="textWrapping"/>
      </w:r>
    </w:p>
    <w:p w:rsidR="00000000" w:rsidDel="00000000" w:rsidP="00000000" w:rsidRDefault="00000000" w:rsidRPr="00000000" w14:paraId="00000034">
      <w:pPr>
        <w:numPr>
          <w:ilvl w:val="0"/>
          <w:numId w:val="8"/>
        </w:numPr>
        <w:spacing w:after="240" w:before="0" w:beforeAutospacing="0" w:lineRule="auto"/>
        <w:ind w:left="720" w:hanging="360"/>
      </w:pPr>
      <w:r w:rsidDel="00000000" w:rsidR="00000000" w:rsidRPr="00000000">
        <w:rPr>
          <w:rtl w:val="0"/>
        </w:rPr>
        <w:t xml:space="preserve">Members: Provide short historical notes or highlights for inclusion in anniversary materials.</w:t>
        <w:br w:type="textWrapping"/>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nlp49kzax5f7" w:id="9"/>
      <w:bookmarkEnd w:id="9"/>
      <w:r w:rsidDel="00000000" w:rsidR="00000000" w:rsidRPr="00000000">
        <w:rPr>
          <w:b w:val="1"/>
          <w:bCs w:val="1"/>
          <w:sz w:val="34"/>
          <w:szCs w:val="34"/>
          <w:rtl w:val="0"/>
        </w:rPr>
        <w:t xml:space="preserve">9. Review of Recruiting New Members — Strategies</w:t>
      </w:r>
    </w:p>
    <w:p w:rsidR="00000000" w:rsidDel="00000000" w:rsidP="00000000" w:rsidRDefault="00000000" w:rsidRPr="00000000" w14:paraId="00000037">
      <w:pPr>
        <w:spacing w:after="240" w:before="240" w:lineRule="auto"/>
        <w:rPr/>
      </w:pPr>
      <w:r w:rsidDel="00000000" w:rsidR="00000000" w:rsidRPr="00000000">
        <w:rPr>
          <w:rtl w:val="0"/>
        </w:rPr>
        <w:t xml:space="preserve">The group discussed targeted recruitment to strengthen representation and distribute service responsibilities.</w:t>
      </w:r>
    </w:p>
    <w:p w:rsidR="00000000" w:rsidDel="00000000" w:rsidP="00000000" w:rsidRDefault="00000000" w:rsidRPr="00000000" w14:paraId="00000038">
      <w:pPr>
        <w:spacing w:after="240" w:before="240" w:lineRule="auto"/>
        <w:rPr/>
      </w:pPr>
      <w:r w:rsidDel="00000000" w:rsidR="00000000" w:rsidRPr="00000000">
        <w:rPr>
          <w:rtl w:val="0"/>
        </w:rPr>
        <w:t xml:space="preserve">Key points</w:t>
      </w:r>
    </w:p>
    <w:p w:rsidR="00000000" w:rsidDel="00000000" w:rsidP="00000000" w:rsidRDefault="00000000" w:rsidRPr="00000000" w14:paraId="00000039">
      <w:pPr>
        <w:numPr>
          <w:ilvl w:val="0"/>
          <w:numId w:val="4"/>
        </w:numPr>
        <w:spacing w:after="0" w:afterAutospacing="0" w:before="240" w:lineRule="auto"/>
        <w:ind w:left="720" w:hanging="360"/>
      </w:pPr>
      <w:r w:rsidDel="00000000" w:rsidR="00000000" w:rsidRPr="00000000">
        <w:rPr>
          <w:rtl w:val="0"/>
        </w:rPr>
        <w:t xml:space="preserve">Identify geographic/sectoral gaps (e.g., California).</w:t>
        <w:br w:type="textWrapping"/>
      </w:r>
    </w:p>
    <w:p w:rsidR="00000000" w:rsidDel="00000000" w:rsidP="00000000" w:rsidRDefault="00000000" w:rsidRPr="00000000" w14:paraId="0000003A">
      <w:pPr>
        <w:numPr>
          <w:ilvl w:val="0"/>
          <w:numId w:val="4"/>
        </w:numPr>
        <w:spacing w:after="240" w:before="0" w:beforeAutospacing="0" w:lineRule="auto"/>
        <w:ind w:left="720" w:hanging="360"/>
      </w:pPr>
      <w:r w:rsidDel="00000000" w:rsidR="00000000" w:rsidRPr="00000000">
        <w:rPr>
          <w:rtl w:val="0"/>
        </w:rPr>
        <w:t xml:space="preserve">Coordinate personalized outreach via existing professional networks and meetings.</w:t>
        <w:br w:type="textWrapping"/>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Action items</w:t>
      </w:r>
    </w:p>
    <w:p w:rsidR="00000000" w:rsidDel="00000000" w:rsidP="00000000" w:rsidRDefault="00000000" w:rsidRPr="00000000" w14:paraId="0000003C">
      <w:pPr>
        <w:numPr>
          <w:ilvl w:val="0"/>
          <w:numId w:val="12"/>
        </w:numPr>
        <w:spacing w:after="240" w:before="240" w:lineRule="auto"/>
        <w:ind w:left="720" w:hanging="360"/>
      </w:pPr>
      <w:r w:rsidDel="00000000" w:rsidR="00000000" w:rsidRPr="00000000">
        <w:rPr>
          <w:rtl w:val="0"/>
        </w:rPr>
        <w:t xml:space="preserve">Identified volunteers (as discussed): Pursue California outreach (including prior UC Santa Cruz contact) and additional leads; report status at the next meeting.</w:t>
        <w:br w:type="textWrapping"/>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oyjlnglcuxvu" w:id="10"/>
      <w:bookmarkEnd w:id="10"/>
      <w:r w:rsidDel="00000000" w:rsidR="00000000" w:rsidRPr="00000000">
        <w:rPr>
          <w:b w:val="1"/>
          <w:bCs w:val="1"/>
          <w:sz w:val="34"/>
          <w:szCs w:val="34"/>
          <w:rtl w:val="0"/>
        </w:rPr>
        <w:t xml:space="preserve">10. Data Stratifying and Group Use</w:t>
      </w:r>
    </w:p>
    <w:p w:rsidR="00000000" w:rsidDel="00000000" w:rsidP="00000000" w:rsidRDefault="00000000" w:rsidRPr="00000000" w14:paraId="0000003F">
      <w:pPr>
        <w:pStyle w:val="Heading3"/>
        <w:keepNext w:val="0"/>
        <w:keepLines w:val="0"/>
        <w:spacing w:after="80" w:lineRule="auto"/>
        <w:rPr/>
      </w:pPr>
      <w:bookmarkStart w:colFirst="0" w:colLast="0" w:name="_fg8xdfobsy6w" w:id="11"/>
      <w:bookmarkEnd w:id="11"/>
      <w:r w:rsidDel="00000000" w:rsidR="00000000" w:rsidRPr="00000000">
        <w:rPr>
          <w:b w:val="1"/>
          <w:bCs w:val="1"/>
          <w:color w:val="000000"/>
          <w:sz w:val="26"/>
          <w:szCs w:val="26"/>
          <w:rtl w:val="0"/>
        </w:rPr>
        <w:t xml:space="preserve">10.1 Survey Data Collection Results and Methodology Discussion</w: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The group reviewed final results from the 2025 national survey iteration. Data collection yielded 1,631 mail-in responses and 169 online responses, below the target of ~2,000 complete responses from prior iterations. Revenue distribution showed representation across firm sizes, with geographic concentration in Florida (17.7%), California (12.6%), and Pennsylvania (7.7%).</w:t>
      </w:r>
    </w:p>
    <w:p w:rsidR="00000000" w:rsidDel="00000000" w:rsidP="00000000" w:rsidRDefault="00000000" w:rsidRPr="00000000" w14:paraId="00000041">
      <w:pPr>
        <w:spacing w:after="240" w:before="240" w:lineRule="auto"/>
        <w:rPr/>
      </w:pPr>
      <w:r w:rsidDel="00000000" w:rsidR="00000000" w:rsidRPr="00000000">
        <w:rPr>
          <w:rtl w:val="0"/>
        </w:rPr>
        <w:t xml:space="preserve">The group discussed declining response rates and increasing negative feedback from potential respondents, attributed to survey fatigue and concerns about survey length. Future methodology improvements were considered, including incentive strategies, industry association partnerships for promotion, and streamlined survey design.</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Action items</w:t>
      </w:r>
    </w:p>
    <w:p w:rsidR="00000000" w:rsidDel="00000000" w:rsidP="00000000" w:rsidRDefault="00000000" w:rsidRPr="00000000" w14:paraId="00000043">
      <w:pPr>
        <w:numPr>
          <w:ilvl w:val="0"/>
          <w:numId w:val="1"/>
        </w:numPr>
        <w:spacing w:after="0" w:afterAutospacing="0" w:before="240" w:lineRule="auto"/>
        <w:ind w:left="720" w:hanging="360"/>
      </w:pPr>
      <w:r w:rsidDel="00000000" w:rsidR="00000000" w:rsidRPr="00000000">
        <w:rPr>
          <w:rtl w:val="0"/>
        </w:rPr>
        <w:t xml:space="preserve">Melinda Knuth and Daniel Tregeagle: Complete data merging and quality verification; distribute final dataset via Google Drive within 2-3 weeks.</w:t>
      </w:r>
    </w:p>
    <w:p w:rsidR="00000000" w:rsidDel="00000000" w:rsidP="00000000" w:rsidRDefault="00000000" w:rsidRPr="00000000" w14:paraId="00000044">
      <w:pPr>
        <w:numPr>
          <w:ilvl w:val="0"/>
          <w:numId w:val="1"/>
        </w:numPr>
        <w:spacing w:after="240" w:before="0" w:beforeAutospacing="0" w:lineRule="auto"/>
        <w:ind w:left="720" w:hanging="360"/>
      </w:pPr>
      <w:r w:rsidDel="00000000" w:rsidR="00000000" w:rsidRPr="00000000">
        <w:rPr>
          <w:rtl w:val="0"/>
        </w:rPr>
        <w:t xml:space="preserve">Future methodology considerations: Develop recommendations for incentive structures and partnership approaches for next survey cycle.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wen7qghsvvma" w:id="12"/>
      <w:bookmarkEnd w:id="12"/>
      <w:r w:rsidDel="00000000" w:rsidR="00000000" w:rsidRPr="00000000">
        <w:rPr>
          <w:b w:val="1"/>
          <w:bCs w:val="1"/>
          <w:color w:val="000000"/>
          <w:sz w:val="26"/>
          <w:szCs w:val="26"/>
          <w:rtl w:val="0"/>
        </w:rPr>
        <w:t xml:space="preserve">10.2 Active‑Member Data Access and Use</w:t>
      </w:r>
    </w:p>
    <w:p w:rsidR="00000000" w:rsidDel="00000000" w:rsidP="00000000" w:rsidRDefault="00000000" w:rsidRPr="00000000" w14:paraId="00000047">
      <w:pPr>
        <w:spacing w:after="240" w:before="240" w:lineRule="auto"/>
        <w:rPr/>
      </w:pPr>
      <w:r w:rsidDel="00000000" w:rsidR="00000000" w:rsidRPr="00000000">
        <w:rPr>
          <w:rtl w:val="0"/>
        </w:rPr>
        <w:t xml:space="preserve">The Chair reiterated expectations for active participation and appropriate use of data. The group affirmed the current approach to data access and documentation.</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grq1x62y0hji" w:id="13"/>
      <w:bookmarkEnd w:id="13"/>
      <w:r w:rsidDel="00000000" w:rsidR="00000000" w:rsidRPr="00000000">
        <w:rPr>
          <w:b w:val="1"/>
          <w:bCs w:val="1"/>
          <w:color w:val="000000"/>
          <w:sz w:val="26"/>
          <w:szCs w:val="26"/>
          <w:rtl w:val="0"/>
        </w:rPr>
        <w:t xml:space="preserve">10.3 Paper Development &amp; Collaboration Guidelines (Task‑Force Model)</w:t>
      </w:r>
    </w:p>
    <w:p w:rsidR="00000000" w:rsidDel="00000000" w:rsidP="00000000" w:rsidRDefault="00000000" w:rsidRPr="00000000" w14:paraId="00000049">
      <w:pPr>
        <w:spacing w:after="240" w:before="240" w:lineRule="auto"/>
        <w:rPr/>
      </w:pPr>
      <w:r w:rsidDel="00000000" w:rsidR="00000000" w:rsidRPr="00000000">
        <w:rPr>
          <w:rtl w:val="0"/>
        </w:rPr>
        <w:t xml:space="preserve">To structure collaborative publications, the group endorsed a task‑force‑first approach, with assignment of lead and co‑authors after a task force refines scope and deliverables. The Chair will maintain the shared tracking sheet (including a “Task Force” column) to initiate ideas, convene initial meetings, and circulate proposals to the listserv for interest and role assignment.</w:t>
      </w:r>
    </w:p>
    <w:p w:rsidR="00000000" w:rsidDel="00000000" w:rsidP="00000000" w:rsidRDefault="00000000" w:rsidRPr="00000000" w14:paraId="0000004A">
      <w:pPr>
        <w:spacing w:after="240" w:before="240" w:lineRule="auto"/>
        <w:rPr/>
      </w:pPr>
      <w:r w:rsidDel="00000000" w:rsidR="00000000" w:rsidRPr="00000000">
        <w:rPr>
          <w:rtl w:val="0"/>
        </w:rPr>
        <w:t xml:space="preserve">Action items</w:t>
      </w:r>
    </w:p>
    <w:p w:rsidR="00000000" w:rsidDel="00000000" w:rsidP="00000000" w:rsidRDefault="00000000" w:rsidRPr="00000000" w14:paraId="0000004B">
      <w:pPr>
        <w:numPr>
          <w:ilvl w:val="0"/>
          <w:numId w:val="3"/>
        </w:numPr>
        <w:spacing w:after="0" w:afterAutospacing="0" w:before="240" w:lineRule="auto"/>
        <w:ind w:left="720" w:hanging="360"/>
      </w:pPr>
      <w:r w:rsidDel="00000000" w:rsidR="00000000" w:rsidRPr="00000000">
        <w:rPr>
          <w:rtl w:val="0"/>
        </w:rPr>
        <w:t xml:space="preserve">Chair/Secretary: Maintain the paper‑tracking spreadsheet with a task‑force column; circulate new ideas to the listserv for sign‑ups.</w:t>
        <w:br w:type="textWrapping"/>
      </w:r>
    </w:p>
    <w:p w:rsidR="00000000" w:rsidDel="00000000" w:rsidP="00000000" w:rsidRDefault="00000000" w:rsidRPr="00000000" w14:paraId="0000004C">
      <w:pPr>
        <w:numPr>
          <w:ilvl w:val="0"/>
          <w:numId w:val="3"/>
        </w:numPr>
        <w:spacing w:after="240" w:before="0" w:beforeAutospacing="0" w:lineRule="auto"/>
        <w:ind w:left="720" w:hanging="360"/>
      </w:pPr>
      <w:r w:rsidDel="00000000" w:rsidR="00000000" w:rsidRPr="00000000">
        <w:rPr>
          <w:rtl w:val="0"/>
        </w:rPr>
        <w:t xml:space="preserve">Internal governance document (summarizing process and expectations) will be circulated to the listserv with the final minutes.</w:t>
        <w:br w:type="textWrapping"/>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dftu4qcf98ku" w:id="14"/>
      <w:bookmarkEnd w:id="14"/>
      <w:r w:rsidDel="00000000" w:rsidR="00000000" w:rsidRPr="00000000">
        <w:rPr>
          <w:b w:val="1"/>
          <w:bCs w:val="1"/>
          <w:sz w:val="34"/>
          <w:szCs w:val="34"/>
          <w:rtl w:val="0"/>
        </w:rPr>
        <w:t xml:space="preserve">11. IMPLAN Results — Overview and Discussion</w:t>
      </w:r>
    </w:p>
    <w:p w:rsidR="00000000" w:rsidDel="00000000" w:rsidP="00000000" w:rsidRDefault="00000000" w:rsidRPr="00000000" w14:paraId="0000004F">
      <w:pPr>
        <w:spacing w:after="240" w:before="240" w:lineRule="auto"/>
        <w:rPr/>
      </w:pPr>
      <w:r w:rsidDel="00000000" w:rsidR="00000000" w:rsidRPr="00000000">
        <w:rPr>
          <w:rtl w:val="0"/>
        </w:rPr>
        <w:t xml:space="preserve">The group reviewed the national and regional IMPLAN results. Highlights included:</w:t>
      </w:r>
    </w:p>
    <w:p w:rsidR="00000000" w:rsidDel="00000000" w:rsidP="00000000" w:rsidRDefault="00000000" w:rsidRPr="00000000" w14:paraId="00000050">
      <w:pPr>
        <w:numPr>
          <w:ilvl w:val="0"/>
          <w:numId w:val="16"/>
        </w:numPr>
        <w:spacing w:after="0" w:afterAutospacing="0" w:before="240" w:lineRule="auto"/>
        <w:ind w:left="720" w:hanging="360"/>
      </w:pPr>
      <w:r w:rsidDel="00000000" w:rsidR="00000000" w:rsidRPr="00000000">
        <w:rPr>
          <w:rtl w:val="0"/>
        </w:rPr>
        <w:t xml:space="preserve">Landscape services remain the largest and growing component of industry activity (consistent with prior cycles).</w:t>
        <w:br w:type="textWrapping"/>
      </w:r>
    </w:p>
    <w:p w:rsidR="00000000" w:rsidDel="00000000" w:rsidP="00000000" w:rsidRDefault="00000000" w:rsidRPr="00000000" w14:paraId="00000051">
      <w:pPr>
        <w:numPr>
          <w:ilvl w:val="0"/>
          <w:numId w:val="16"/>
        </w:numPr>
        <w:spacing w:after="0" w:afterAutospacing="0" w:before="0" w:beforeAutospacing="0" w:lineRule="auto"/>
        <w:ind w:left="720" w:hanging="360"/>
      </w:pPr>
      <w:r w:rsidDel="00000000" w:rsidR="00000000" w:rsidRPr="00000000">
        <w:rPr>
          <w:rtl w:val="0"/>
        </w:rPr>
        <w:t xml:space="preserve">Wholesale equipment showed a pronounced decline (employment and output), with discussion of potential structural changes (e.g., direct channels reducing intermediary roles).</w:t>
        <w:br w:type="textWrapping"/>
      </w:r>
    </w:p>
    <w:p w:rsidR="00000000" w:rsidDel="00000000" w:rsidP="00000000" w:rsidRDefault="00000000" w:rsidRPr="00000000" w14:paraId="00000052">
      <w:pPr>
        <w:numPr>
          <w:ilvl w:val="0"/>
          <w:numId w:val="16"/>
        </w:numPr>
        <w:spacing w:after="240" w:before="0" w:beforeAutospacing="0" w:lineRule="auto"/>
        <w:ind w:left="720" w:hanging="360"/>
      </w:pPr>
      <w:r w:rsidDel="00000000" w:rsidR="00000000" w:rsidRPr="00000000">
        <w:rPr>
          <w:rtl w:val="0"/>
        </w:rPr>
        <w:t xml:space="preserve">Regional classification follows established USDA‑based groupings; state‑level allocations were reviewed.</w:t>
        <w:br w:type="textWrapping"/>
      </w:r>
    </w:p>
    <w:p w:rsidR="00000000" w:rsidDel="00000000" w:rsidP="00000000" w:rsidRDefault="00000000" w:rsidRPr="00000000" w14:paraId="00000053">
      <w:pPr>
        <w:spacing w:after="240" w:before="240" w:lineRule="auto"/>
        <w:rPr/>
      </w:pPr>
      <w:r w:rsidDel="00000000" w:rsidR="00000000" w:rsidRPr="00000000">
        <w:rPr>
          <w:rtl w:val="0"/>
        </w:rPr>
        <w:t xml:space="preserve">Action items</w:t>
      </w:r>
    </w:p>
    <w:p w:rsidR="00000000" w:rsidDel="00000000" w:rsidP="00000000" w:rsidRDefault="00000000" w:rsidRPr="00000000" w14:paraId="00000054">
      <w:pPr>
        <w:numPr>
          <w:ilvl w:val="0"/>
          <w:numId w:val="15"/>
        </w:numPr>
        <w:spacing w:after="240" w:before="240" w:lineRule="auto"/>
        <w:ind w:left="720" w:hanging="360"/>
      </w:pPr>
      <w:r w:rsidDel="00000000" w:rsidR="00000000" w:rsidRPr="00000000">
        <w:rPr>
          <w:rtl w:val="0"/>
        </w:rPr>
        <w:t xml:space="preserve">Analysis team (with Alan Hodges’s guidance): Finalize state allocation tables and a brief executive summary suitable for stakeholders.</w:t>
        <w:br w:type="textWrapping"/>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lox45qs7e6cu" w:id="15"/>
      <w:bookmarkEnd w:id="15"/>
      <w:r w:rsidDel="00000000" w:rsidR="00000000" w:rsidRPr="00000000">
        <w:rPr>
          <w:b w:val="1"/>
          <w:bCs w:val="1"/>
          <w:sz w:val="34"/>
          <w:szCs w:val="34"/>
          <w:rtl w:val="0"/>
        </w:rPr>
        <w:t xml:space="preserve">12. Ad Hoc Search Committee to Identify a New Secretary</w:t>
      </w:r>
    </w:p>
    <w:p w:rsidR="00000000" w:rsidDel="00000000" w:rsidP="00000000" w:rsidRDefault="00000000" w:rsidRPr="00000000" w14:paraId="00000057">
      <w:pPr>
        <w:spacing w:after="240" w:before="240" w:lineRule="auto"/>
        <w:rPr/>
      </w:pPr>
      <w:r w:rsidDel="00000000" w:rsidR="00000000" w:rsidRPr="00000000">
        <w:rPr>
          <w:rtl w:val="0"/>
        </w:rPr>
        <w:t xml:space="preserve">Consistent with S‑1087 practice, an ad hoc search committee (the last three chairs) will confidentially recruit secretary candidates and present nominations for a vote at the Spring 2026 meeting.</w:t>
      </w:r>
    </w:p>
    <w:p w:rsidR="00000000" w:rsidDel="00000000" w:rsidP="00000000" w:rsidRDefault="00000000" w:rsidRPr="00000000" w14:paraId="00000058">
      <w:pPr>
        <w:spacing w:after="240" w:before="240" w:lineRule="auto"/>
        <w:rPr/>
      </w:pPr>
      <w:r w:rsidDel="00000000" w:rsidR="00000000" w:rsidRPr="00000000">
        <w:rPr>
          <w:rtl w:val="0"/>
        </w:rPr>
        <w:t xml:space="preserve">Action items</w:t>
      </w:r>
    </w:p>
    <w:p w:rsidR="00000000" w:rsidDel="00000000" w:rsidP="00000000" w:rsidRDefault="00000000" w:rsidRPr="00000000" w14:paraId="00000059">
      <w:pPr>
        <w:numPr>
          <w:ilvl w:val="0"/>
          <w:numId w:val="5"/>
        </w:numPr>
        <w:spacing w:after="240" w:before="240" w:lineRule="auto"/>
        <w:ind w:left="720" w:hanging="360"/>
      </w:pPr>
      <w:r w:rsidDel="00000000" w:rsidR="00000000" w:rsidRPr="00000000">
        <w:rPr>
          <w:rtl w:val="0"/>
        </w:rPr>
        <w:t xml:space="preserve">Search committee (Melinda Knuth, Alicia Rihn, and Ben Campbell): Conduct targeted outreach and prepare a slate for Spring 2026.</w:t>
        <w:br w:type="textWrapping"/>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c4hhjmyg2rt0" w:id="16"/>
      <w:bookmarkEnd w:id="16"/>
      <w:r w:rsidDel="00000000" w:rsidR="00000000" w:rsidRPr="00000000">
        <w:rPr>
          <w:b w:val="1"/>
          <w:bCs w:val="1"/>
          <w:sz w:val="34"/>
          <w:szCs w:val="34"/>
          <w:rtl w:val="0"/>
        </w:rPr>
        <w:t xml:space="preserve">13. Roundtable: State Activities &amp; Ongoing/Proposed Projects</w:t>
      </w:r>
    </w:p>
    <w:p w:rsidR="00000000" w:rsidDel="00000000" w:rsidP="00000000" w:rsidRDefault="00000000" w:rsidRPr="00000000" w14:paraId="0000005C">
      <w:pPr>
        <w:pStyle w:val="Heading3"/>
        <w:rPr/>
      </w:pPr>
      <w:bookmarkStart w:colFirst="0" w:colLast="0" w:name="_6f72pn6lnu4j" w:id="17"/>
      <w:bookmarkEnd w:id="17"/>
      <w:r w:rsidDel="00000000" w:rsidR="00000000" w:rsidRPr="00000000">
        <w:rPr>
          <w:rtl w:val="0"/>
        </w:rPr>
        <w:t xml:space="preserve">Florida (University of Florida)</w:t>
      </w:r>
    </w:p>
    <w:p w:rsidR="00000000" w:rsidDel="00000000" w:rsidP="00000000" w:rsidRDefault="00000000" w:rsidRPr="00000000" w14:paraId="0000005D">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NSF-funded study investigating homeowner preferences regarding mandated "no mow" and "no fertilization" buffer zones around stormwater ponds</w:t>
      </w:r>
    </w:p>
    <w:p w:rsidR="00000000" w:rsidDel="00000000" w:rsidP="00000000" w:rsidRDefault="00000000" w:rsidRPr="00000000" w14:paraId="0000005E">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FDACS-funded study on consumer willingness to pay for Florida-grown blueberries, focusing on the "Fresh From Florida" agricultural marketing campaign</w:t>
      </w:r>
    </w:p>
    <w:p w:rsidR="00000000" w:rsidDel="00000000" w:rsidP="00000000" w:rsidRDefault="00000000" w:rsidRPr="00000000" w14:paraId="0000005F">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University of Florida-funded research and extension project in Hernando, Seminole, and Orange counties investigating homeowners' knowledge of fertilizer restrictions and developing educational programs for Extension personnel</w:t>
      </w:r>
    </w:p>
    <w:p w:rsidR="00000000" w:rsidDel="00000000" w:rsidP="00000000" w:rsidRDefault="00000000" w:rsidRPr="00000000" w14:paraId="00000060">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USDA SCRI-funded study investigating residents' preferences and tolerance levels for biodiversity in residential lawns, including acceptance of some level of weeds</w:t>
      </w:r>
    </w:p>
    <w:p w:rsidR="00000000" w:rsidDel="00000000" w:rsidP="00000000" w:rsidRDefault="00000000" w:rsidRPr="00000000" w14:paraId="00000061">
      <w:pPr>
        <w:pStyle w:val="Heading3"/>
        <w:rPr/>
      </w:pPr>
      <w:bookmarkStart w:colFirst="0" w:colLast="0" w:name="_et81cm39f3pk" w:id="18"/>
      <w:bookmarkEnd w:id="18"/>
      <w:r w:rsidDel="00000000" w:rsidR="00000000" w:rsidRPr="00000000">
        <w:rPr>
          <w:rtl w:val="0"/>
        </w:rPr>
        <w:t xml:space="preserve">Indiana (Purdue University)</w:t>
      </w:r>
    </w:p>
    <w:p w:rsidR="00000000" w:rsidDel="00000000" w:rsidP="00000000" w:rsidRDefault="00000000" w:rsidRPr="00000000" w14:paraId="00000062">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Collaboration on natives ornamental projects to understand consumer preferences for sustainable plant attributes across different U.S. regions</w:t>
      </w:r>
    </w:p>
    <w:p w:rsidR="00000000" w:rsidDel="00000000" w:rsidP="00000000" w:rsidRDefault="00000000" w:rsidRPr="00000000" w14:paraId="00000063">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Development of HortCalculator, an online financial tool with a TurboTax-like interface to support growers' decision-making in adopting integrated pest management (IPM) technologies (available at </w:t>
      </w:r>
      <w:hyperlink r:id="rId6">
        <w:r w:rsidDel="00000000" w:rsidR="00000000" w:rsidRPr="00000000">
          <w:rPr>
            <w:color w:val="1155cc"/>
            <w:u w:val="single"/>
            <w:rtl w:val="0"/>
          </w:rPr>
          <w:t xml:space="preserve">https://hortcalc.ceris.purdue.edu/</w:t>
        </w:r>
      </w:hyperlink>
      <w:r w:rsidDel="00000000" w:rsidR="00000000" w:rsidRPr="00000000">
        <w:rPr>
          <w:rtl w:val="0"/>
        </w:rPr>
        <w:t xml:space="preserve">)</w:t>
      </w:r>
    </w:p>
    <w:p w:rsidR="00000000" w:rsidDel="00000000" w:rsidP="00000000" w:rsidRDefault="00000000" w:rsidRPr="00000000" w14:paraId="00000064">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Project on sustainable turfgrasses for residential, commercial, and athletic uses, studying homeowners' willingness to pay for low-input attributes and landscape contractors' purchasing agreements</w:t>
      </w:r>
    </w:p>
    <w:p w:rsidR="00000000" w:rsidDel="00000000" w:rsidP="00000000" w:rsidRDefault="00000000" w:rsidRPr="00000000" w14:paraId="00000065">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Training cut flowers growers through the "Blossoming Prosperity: Empowering Indiana Cut Flower Growers for Sustainable Growth" program funded by NCR-ERME, introducing and implementing risk management education skills</w:t>
      </w:r>
    </w:p>
    <w:p w:rsidR="00000000" w:rsidDel="00000000" w:rsidP="00000000" w:rsidRDefault="00000000" w:rsidRPr="00000000" w14:paraId="00000066">
      <w:pPr>
        <w:pStyle w:val="Heading3"/>
        <w:rPr/>
      </w:pPr>
      <w:bookmarkStart w:colFirst="0" w:colLast="0" w:name="_w2r2wp17n335" w:id="19"/>
      <w:bookmarkEnd w:id="19"/>
      <w:r w:rsidDel="00000000" w:rsidR="00000000" w:rsidRPr="00000000">
        <w:rPr>
          <w:rtl w:val="0"/>
        </w:rPr>
        <w:t xml:space="preserve">Michigan (Michigan State University)</w:t>
      </w:r>
    </w:p>
    <w:p w:rsidR="00000000" w:rsidDel="00000000" w:rsidP="00000000" w:rsidRDefault="00000000" w:rsidRPr="00000000" w14:paraId="00000067">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Presentation on macroeconomic events and microeconomic factors shaping Christmas tree farming in Michigan at the 2025 MSU Christmas Tree virtual meeting "Preparing for Sales Season" (67 registered attendees from 25 U.S. states and Canada; 36 live viewers, 28 recording views; survey results showed 50% slight increase, 30% moderate increase, and 10% great deal of knowledge increase regarding Christmas tree profitability; 40% plan immediate changes to their farms)</w:t>
      </w:r>
    </w:p>
    <w:p w:rsidR="00000000" w:rsidDel="00000000" w:rsidP="00000000" w:rsidRDefault="00000000" w:rsidRPr="00000000" w14:paraId="00000068">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Presentation at the Great Lakes Expo in Grand Rapids, MI (December 2024) providing an overview of industry characteristics and their evolution in response to major economic crises including the 2007-09 Great Recession and COVID-19 Pandemic, featuring comparative analysis of data from the 2009-2019 U.S. Census of Agriculture and Horticulture and the 2023 Floriculture Crops report (25 attendees; 12% survey response rate with 100% indicating the session was useful or helpful)</w:t>
      </w:r>
    </w:p>
    <w:p w:rsidR="00000000" w:rsidDel="00000000" w:rsidP="00000000" w:rsidRDefault="00000000" w:rsidRPr="00000000" w14:paraId="00000069">
      <w:pPr>
        <w:pStyle w:val="Heading3"/>
        <w:rPr/>
      </w:pPr>
      <w:bookmarkStart w:colFirst="0" w:colLast="0" w:name="_gb8rcpkkdh0y" w:id="20"/>
      <w:bookmarkEnd w:id="20"/>
      <w:r w:rsidDel="00000000" w:rsidR="00000000" w:rsidRPr="00000000">
        <w:rPr>
          <w:rtl w:val="0"/>
        </w:rPr>
        <w:t xml:space="preserve">North Carolina (NC State University)</w:t>
      </w:r>
    </w:p>
    <w:p w:rsidR="00000000" w:rsidDel="00000000" w:rsidP="00000000" w:rsidRDefault="00000000" w:rsidRPr="00000000" w14:paraId="0000006A">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North Carolina Green Industry Report and Impact Report</w:t>
      </w:r>
    </w:p>
    <w:p w:rsidR="00000000" w:rsidDel="00000000" w:rsidP="00000000" w:rsidRDefault="00000000" w:rsidRPr="00000000" w14:paraId="0000006B">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Analysis of green industry firms' sustainability practices using NC Green Industry Report data</w:t>
      </w:r>
    </w:p>
    <w:p w:rsidR="00000000" w:rsidDel="00000000" w:rsidP="00000000" w:rsidRDefault="00000000" w:rsidRPr="00000000" w14:paraId="0000006C">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Floral supermarket analysis conducted collaboratively with Tennessee and Florida</w:t>
      </w:r>
    </w:p>
    <w:p w:rsidR="00000000" w:rsidDel="00000000" w:rsidP="00000000" w:rsidRDefault="00000000" w:rsidRPr="00000000" w14:paraId="0000006D">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Research on signage in retail centers</w:t>
      </w:r>
    </w:p>
    <w:p w:rsidR="00000000" w:rsidDel="00000000" w:rsidP="00000000" w:rsidRDefault="00000000" w:rsidRPr="00000000" w14:paraId="0000006E">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Study on scent impact of ornamental plants for consumers</w:t>
      </w:r>
    </w:p>
    <w:p w:rsidR="00000000" w:rsidDel="00000000" w:rsidP="00000000" w:rsidRDefault="00000000" w:rsidRPr="00000000" w14:paraId="0000006F">
      <w:pPr>
        <w:pStyle w:val="Heading3"/>
        <w:rPr/>
      </w:pPr>
      <w:bookmarkStart w:colFirst="0" w:colLast="0" w:name="_69gncfxbwonz" w:id="21"/>
      <w:bookmarkEnd w:id="21"/>
      <w:r w:rsidDel="00000000" w:rsidR="00000000" w:rsidRPr="00000000">
        <w:rPr>
          <w:rtl w:val="0"/>
        </w:rPr>
        <w:t xml:space="preserve">Tennessee (University of Tennessee)</w:t>
      </w:r>
    </w:p>
    <w:p w:rsidR="00000000" w:rsidDel="00000000" w:rsidP="00000000" w:rsidRDefault="00000000" w:rsidRPr="00000000" w14:paraId="00000070">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Local cut flowers in Tennessee: budgets complete and going online, consumer behavior x grower production methods study</w:t>
      </w:r>
    </w:p>
    <w:p w:rsidR="00000000" w:rsidDel="00000000" w:rsidP="00000000" w:rsidRDefault="00000000" w:rsidRPr="00000000" w14:paraId="00000071">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SCRI flatheaded borer and ambrosia beetle study focusing on alternative pest control methods and consumer interest</w:t>
      </w:r>
    </w:p>
    <w:p w:rsidR="00000000" w:rsidDel="00000000" w:rsidP="00000000" w:rsidRDefault="00000000" w:rsidRPr="00000000" w14:paraId="00000072">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HRI-funded native plant study examining consumer perceptions and valuation</w:t>
      </w:r>
    </w:p>
    <w:p w:rsidR="00000000" w:rsidDel="00000000" w:rsidP="00000000" w:rsidRDefault="00000000" w:rsidRPr="00000000" w14:paraId="00000073">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HRI-funded ornamental landscape plant fragrance study (preliminary study confirmed that fragrance is valued; upcoming studies will assess if that varies by plant type, retail channel, and messaging format)</w:t>
      </w:r>
    </w:p>
    <w:p w:rsidR="00000000" w:rsidDel="00000000" w:rsidP="00000000" w:rsidRDefault="00000000" w:rsidRPr="00000000" w14:paraId="00000074">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LEAP project using automation and mechanization in nursery industry to address labor needs, studying both consumer preferences and industry case studies of automation adoption with cost-benefit analysis</w:t>
      </w:r>
    </w:p>
    <w:p w:rsidR="00000000" w:rsidDel="00000000" w:rsidP="00000000" w:rsidRDefault="00000000" w:rsidRPr="00000000" w14:paraId="00000075">
      <w:pPr>
        <w:pStyle w:val="Heading3"/>
        <w:rPr/>
      </w:pPr>
      <w:bookmarkStart w:colFirst="0" w:colLast="0" w:name="_pglrplhxdjrl" w:id="22"/>
      <w:bookmarkEnd w:id="22"/>
      <w:r w:rsidDel="00000000" w:rsidR="00000000" w:rsidRPr="00000000">
        <w:rPr>
          <w:rtl w:val="0"/>
        </w:rPr>
        <w:t xml:space="preserve">Texas (Texas A&amp;M University)</w:t>
      </w:r>
    </w:p>
    <w:p w:rsidR="00000000" w:rsidDel="00000000" w:rsidP="00000000" w:rsidRDefault="00000000" w:rsidRPr="00000000" w14:paraId="00000076">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Your MarketMetrics (YMM) benchmarking program for green industry growers, providing key performance indicators (KPIs) and online dashboard for comparing operational and financial performance</w:t>
      </w:r>
    </w:p>
    <w:p w:rsidR="00000000" w:rsidDel="00000000" w:rsidP="00000000" w:rsidRDefault="00000000" w:rsidRPr="00000000" w14:paraId="00000077">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Update of the Index of Prices Paid by Growers for 2023 to reflect inflationary pressures on green industry inputs</w:t>
      </w:r>
    </w:p>
    <w:p w:rsidR="00000000" w:rsidDel="00000000" w:rsidP="00000000" w:rsidRDefault="00000000" w:rsidRPr="00000000" w14:paraId="00000078">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Meta-analysis of economic benefits of plants in residential and municipal landscapes, including publications on property values and green gentrification</w:t>
      </w:r>
    </w:p>
    <w:p w:rsidR="00000000" w:rsidDel="00000000" w:rsidP="00000000" w:rsidRDefault="00000000" w:rsidRPr="00000000" w14:paraId="00000079">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Consumer research studies on relationships between plant purchases, mental health, physical activity, and consideration of future consequences</w:t>
      </w:r>
    </w:p>
    <w:p w:rsidR="00000000" w:rsidDel="00000000" w:rsidP="00000000" w:rsidRDefault="00000000" w:rsidRPr="00000000" w14:paraId="0000007A">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Multiple presentations at national and international conferences on economic forecasts and green industry trends</w:t>
      </w:r>
    </w:p>
    <w:p w:rsidR="00000000" w:rsidDel="00000000" w:rsidP="00000000" w:rsidRDefault="00000000" w:rsidRPr="00000000" w14:paraId="0000007B">
      <w:pPr>
        <w:numPr>
          <w:ilvl w:val="0"/>
          <w:numId w:val="9"/>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Collaborative research on floral arrangements, signage impacts, and consumer preferences</w:t>
      </w:r>
    </w:p>
    <w:p w:rsidR="00000000" w:rsidDel="00000000" w:rsidP="00000000" w:rsidRDefault="00000000" w:rsidRPr="00000000" w14:paraId="0000007C">
      <w:pPr>
        <w:spacing w:after="240" w:before="240" w:lineRule="auto"/>
        <w:rPr>
          <w:b w:val="1"/>
          <w:bCs w:val="1"/>
        </w:rPr>
      </w:pPr>
      <w:r w:rsidDel="00000000" w:rsidR="00000000" w:rsidRPr="00000000">
        <w:rPr>
          <w:rtl w:val="0"/>
        </w:rPr>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sz w:val="34"/>
          <w:szCs w:val="34"/>
        </w:rPr>
      </w:pPr>
      <w:bookmarkStart w:colFirst="0" w:colLast="0" w:name="_paeg4yv09aya" w:id="23"/>
      <w:bookmarkEnd w:id="23"/>
      <w:r w:rsidDel="00000000" w:rsidR="00000000" w:rsidRPr="00000000">
        <w:rPr>
          <w:b w:val="1"/>
          <w:bCs w:val="1"/>
          <w:sz w:val="34"/>
          <w:szCs w:val="34"/>
          <w:rtl w:val="0"/>
        </w:rPr>
        <w:t xml:space="preserve">14. Proposed Next Meeting Locations</w:t>
      </w:r>
    </w:p>
    <w:p w:rsidR="00000000" w:rsidDel="00000000" w:rsidP="00000000" w:rsidRDefault="00000000" w:rsidRPr="00000000" w14:paraId="0000007F">
      <w:pPr>
        <w:spacing w:after="240" w:before="240" w:lineRule="auto"/>
        <w:rPr/>
      </w:pPr>
      <w:r w:rsidDel="00000000" w:rsidR="00000000" w:rsidRPr="00000000">
        <w:rPr>
          <w:rtl w:val="0"/>
        </w:rPr>
        <w:t xml:space="preserve">The group discussed a two‑part plan balancing accessibility and field engagement:</w:t>
      </w:r>
    </w:p>
    <w:p w:rsidR="00000000" w:rsidDel="00000000" w:rsidP="00000000" w:rsidRDefault="00000000" w:rsidRPr="00000000" w14:paraId="00000080">
      <w:pPr>
        <w:numPr>
          <w:ilvl w:val="0"/>
          <w:numId w:val="7"/>
        </w:numPr>
        <w:spacing w:after="0" w:afterAutospacing="0" w:before="240" w:lineRule="auto"/>
        <w:ind w:left="720" w:hanging="360"/>
      </w:pPr>
      <w:r w:rsidDel="00000000" w:rsidR="00000000" w:rsidRPr="00000000">
        <w:rPr>
          <w:rtl w:val="0"/>
        </w:rPr>
        <w:t xml:space="preserve">Spring 2026: Online business meeting to reduce travel costs and accommodate schedules.</w:t>
        <w:br w:type="textWrapping"/>
      </w:r>
    </w:p>
    <w:p w:rsidR="00000000" w:rsidDel="00000000" w:rsidP="00000000" w:rsidRDefault="00000000" w:rsidRPr="00000000" w14:paraId="00000081">
      <w:pPr>
        <w:numPr>
          <w:ilvl w:val="0"/>
          <w:numId w:val="7"/>
        </w:numPr>
        <w:spacing w:after="240" w:before="0" w:beforeAutospacing="0" w:lineRule="auto"/>
        <w:ind w:left="720" w:hanging="360"/>
      </w:pPr>
      <w:r w:rsidDel="00000000" w:rsidR="00000000" w:rsidRPr="00000000">
        <w:rPr>
          <w:rtl w:val="0"/>
        </w:rPr>
        <w:t xml:space="preserve">Summer 2026 (field meeting): In‑person visit proposed for Alaska (e.g., Homer peony producers), with hybrid access where feasible. Coordination with ASHS MKEC remains under consideration.</w:t>
        <w:br w:type="textWrapping"/>
      </w:r>
    </w:p>
    <w:p w:rsidR="00000000" w:rsidDel="00000000" w:rsidP="00000000" w:rsidRDefault="00000000" w:rsidRPr="00000000" w14:paraId="00000082">
      <w:pPr>
        <w:spacing w:after="240" w:before="240" w:lineRule="auto"/>
        <w:rPr/>
      </w:pPr>
      <w:r w:rsidDel="00000000" w:rsidR="00000000" w:rsidRPr="00000000">
        <w:rPr>
          <w:rtl w:val="0"/>
        </w:rPr>
        <w:t xml:space="preserve">Motion: Ariana Torres moved to adopt the meeting‑format/location plan as discussed; Alicia Rihn seconded. Approved unanimously; no abstentions.</w:t>
      </w:r>
    </w:p>
    <w:p w:rsidR="00000000" w:rsidDel="00000000" w:rsidP="00000000" w:rsidRDefault="00000000" w:rsidRPr="00000000" w14:paraId="00000083">
      <w:pPr>
        <w:spacing w:after="240" w:before="240" w:lineRule="auto"/>
        <w:rPr/>
      </w:pPr>
      <w:r w:rsidDel="00000000" w:rsidR="00000000" w:rsidRPr="00000000">
        <w:rPr>
          <w:rtl w:val="0"/>
        </w:rPr>
        <w:t xml:space="preserve">Action items</w:t>
      </w:r>
    </w:p>
    <w:p w:rsidR="00000000" w:rsidDel="00000000" w:rsidP="00000000" w:rsidRDefault="00000000" w:rsidRPr="00000000" w14:paraId="00000084">
      <w:pPr>
        <w:numPr>
          <w:ilvl w:val="0"/>
          <w:numId w:val="14"/>
        </w:numPr>
        <w:spacing w:after="0" w:afterAutospacing="0" w:before="240" w:lineRule="auto"/>
        <w:ind w:left="720" w:hanging="360"/>
      </w:pPr>
      <w:r w:rsidDel="00000000" w:rsidR="00000000" w:rsidRPr="00000000">
        <w:rPr>
          <w:rtl w:val="0"/>
        </w:rPr>
        <w:t xml:space="preserve">Chair (Melinda Knuth): Circulate date polls for Spring/Summer 2026 (and initiate a hold‑poll for Spring 2027).</w:t>
        <w:br w:type="textWrapping"/>
      </w:r>
    </w:p>
    <w:p w:rsidR="00000000" w:rsidDel="00000000" w:rsidP="00000000" w:rsidRDefault="00000000" w:rsidRPr="00000000" w14:paraId="00000085">
      <w:pPr>
        <w:numPr>
          <w:ilvl w:val="0"/>
          <w:numId w:val="14"/>
        </w:numPr>
        <w:spacing w:after="240" w:before="0" w:beforeAutospacing="0" w:lineRule="auto"/>
        <w:ind w:left="720" w:hanging="360"/>
      </w:pPr>
      <w:r w:rsidDel="00000000" w:rsidR="00000000" w:rsidRPr="00000000">
        <w:rPr>
          <w:rtl w:val="0"/>
        </w:rPr>
        <w:t xml:space="preserve">Leadership: Add MKEC coordination to the Spring 2026 agenda for planning and communications.</w:t>
        <w:br w:type="textWrapping"/>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Style w:val="Heading2"/>
        <w:keepNext w:val="0"/>
        <w:keepLines w:val="0"/>
        <w:spacing w:after="80" w:lineRule="auto"/>
        <w:rPr>
          <w:b w:val="1"/>
          <w:bCs w:val="1"/>
          <w:sz w:val="34"/>
          <w:szCs w:val="34"/>
        </w:rPr>
      </w:pPr>
      <w:bookmarkStart w:colFirst="0" w:colLast="0" w:name="_iyc830oc2u0c" w:id="24"/>
      <w:bookmarkEnd w:id="24"/>
      <w:r w:rsidDel="00000000" w:rsidR="00000000" w:rsidRPr="00000000">
        <w:rPr>
          <w:b w:val="1"/>
          <w:bCs w:val="1"/>
          <w:sz w:val="34"/>
          <w:szCs w:val="34"/>
          <w:rtl w:val="0"/>
        </w:rPr>
        <w:t xml:space="preserve">15. Adjournment</w:t>
      </w:r>
    </w:p>
    <w:p w:rsidR="00000000" w:rsidDel="00000000" w:rsidP="00000000" w:rsidRDefault="00000000" w:rsidRPr="00000000" w14:paraId="00000088">
      <w:pPr>
        <w:spacing w:after="240" w:before="240" w:lineRule="auto"/>
        <w:rPr/>
      </w:pPr>
      <w:r w:rsidDel="00000000" w:rsidR="00000000" w:rsidRPr="00000000">
        <w:rPr>
          <w:rtl w:val="0"/>
        </w:rPr>
        <w:t xml:space="preserve">Motion: Julie Cambpell moved to adjourn; Daniel Tregeagle seconded. Approved unanimously; no abstentions. The business meeting was adjourned.</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3"/>
        <w:keepNext w:val="0"/>
        <w:keepLines w:val="0"/>
        <w:spacing w:before="280" w:lineRule="auto"/>
        <w:rPr>
          <w:b w:val="1"/>
          <w:bCs w:val="1"/>
          <w:color w:val="000000"/>
          <w:sz w:val="26"/>
          <w:szCs w:val="26"/>
        </w:rPr>
      </w:pPr>
      <w:bookmarkStart w:colFirst="0" w:colLast="0" w:name="_yks26i7hxtn5" w:id="25"/>
      <w:bookmarkEnd w:id="25"/>
      <w:r w:rsidDel="00000000" w:rsidR="00000000" w:rsidRPr="00000000">
        <w:rPr>
          <w:b w:val="1"/>
          <w:bCs w:val="1"/>
          <w:color w:val="000000"/>
          <w:sz w:val="26"/>
          <w:szCs w:val="26"/>
          <w:rtl w:val="0"/>
        </w:rPr>
        <w:t xml:space="preserve">Distribution Note</w:t>
      </w:r>
    </w:p>
    <w:p w:rsidR="00000000" w:rsidDel="00000000" w:rsidP="00000000" w:rsidRDefault="00000000" w:rsidRPr="00000000" w14:paraId="0000008B">
      <w:pPr>
        <w:spacing w:after="240" w:before="240" w:lineRule="auto"/>
        <w:rPr/>
      </w:pPr>
      <w:r w:rsidDel="00000000" w:rsidR="00000000" w:rsidRPr="00000000">
        <w:rPr>
          <w:rtl w:val="0"/>
        </w:rPr>
        <w:t xml:space="preserve">An internal governance document (collaboration process) will be circulated to the S‑1087 listserv together with the final minutes following review; it will not be linked in the minutes or posted externally.</w:t>
      </w:r>
    </w:p>
    <w:p w:rsidR="00000000" w:rsidDel="00000000" w:rsidP="00000000" w:rsidRDefault="00000000" w:rsidRPr="00000000" w14:paraId="0000008C">
      <w:pPr>
        <w:rPr>
          <w:b w:val="1"/>
          <w:bCs w:val="1"/>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ortcalc.ceris.purdue.edu/"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