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b w:val="1"/>
          <w:sz w:val="24"/>
          <w:szCs w:val="24"/>
          <w:rtl w:val="0"/>
        </w:rPr>
        <w:t xml:space="preserve">Project</w:t>
      </w:r>
      <w:r w:rsidDel="00000000" w:rsidR="00000000" w:rsidRPr="00000000">
        <w:rPr>
          <w:b w:val="1"/>
          <w:sz w:val="24"/>
          <w:szCs w:val="24"/>
          <w:rtl w:val="0"/>
        </w:rPr>
        <w:t xml:space="preserve">:</w:t>
      </w:r>
      <w:r w:rsidDel="00000000" w:rsidR="00000000" w:rsidRPr="00000000">
        <w:rPr>
          <w:sz w:val="24"/>
          <w:szCs w:val="24"/>
          <w:rtl w:val="0"/>
        </w:rPr>
        <w:t xml:space="preserve"> S-1087</w:t>
      </w:r>
    </w:p>
    <w:p w:rsidR="00000000" w:rsidDel="00000000" w:rsidP="00000000" w:rsidRDefault="00000000" w:rsidRPr="00000000" w14:paraId="00000002">
      <w:pPr>
        <w:rPr>
          <w:sz w:val="24"/>
          <w:szCs w:val="24"/>
        </w:rPr>
      </w:pPr>
      <w:r w:rsidDel="00000000" w:rsidR="00000000" w:rsidRPr="00000000">
        <w:rPr>
          <w:b w:val="1"/>
          <w:sz w:val="24"/>
          <w:szCs w:val="24"/>
          <w:rtl w:val="0"/>
        </w:rPr>
        <w:t xml:space="preserve">Project Title:</w:t>
      </w:r>
      <w:r w:rsidDel="00000000" w:rsidR="00000000" w:rsidRPr="00000000">
        <w:rPr>
          <w:sz w:val="24"/>
          <w:szCs w:val="24"/>
          <w:rtl w:val="0"/>
        </w:rPr>
        <w:t xml:space="preserve"> Sustainable Practices, Economic Contributions, Consumer Behavior, and Labor Management in the U.S. Environmental Horticulture Industry</w:t>
      </w:r>
    </w:p>
    <w:p w:rsidR="00000000" w:rsidDel="00000000" w:rsidP="00000000" w:rsidRDefault="00000000" w:rsidRPr="00000000" w14:paraId="00000003">
      <w:pPr>
        <w:rPr>
          <w:sz w:val="24"/>
          <w:szCs w:val="24"/>
        </w:rPr>
      </w:pPr>
      <w:r w:rsidDel="00000000" w:rsidR="00000000" w:rsidRPr="00000000">
        <w:rPr>
          <w:b w:val="1"/>
          <w:sz w:val="24"/>
          <w:szCs w:val="24"/>
          <w:rtl w:val="0"/>
        </w:rPr>
        <w:t xml:space="preserve">Period Covered:</w:t>
      </w:r>
      <w:r w:rsidDel="00000000" w:rsidR="00000000" w:rsidRPr="00000000">
        <w:rPr>
          <w:sz w:val="24"/>
          <w:szCs w:val="24"/>
          <w:rtl w:val="0"/>
        </w:rPr>
        <w:t xml:space="preserve"> Sept 2024 – Sept 2025</w:t>
      </w:r>
    </w:p>
    <w:p w:rsidR="00000000" w:rsidDel="00000000" w:rsidP="00000000" w:rsidRDefault="00000000" w:rsidRPr="00000000" w14:paraId="00000004">
      <w:pPr>
        <w:rPr>
          <w:sz w:val="24"/>
          <w:szCs w:val="24"/>
        </w:rPr>
      </w:pPr>
      <w:r w:rsidDel="00000000" w:rsidR="00000000" w:rsidRPr="00000000">
        <w:rPr>
          <w:b w:val="1"/>
          <w:sz w:val="24"/>
          <w:szCs w:val="24"/>
          <w:rtl w:val="0"/>
        </w:rPr>
        <w:t xml:space="preserve">Date of This Report:</w:t>
      </w:r>
      <w:r w:rsidDel="00000000" w:rsidR="00000000" w:rsidRPr="00000000">
        <w:rPr>
          <w:sz w:val="24"/>
          <w:szCs w:val="24"/>
          <w:rtl w:val="0"/>
        </w:rPr>
        <w:t xml:space="preserve"> October 10, 2025</w:t>
      </w:r>
    </w:p>
    <w:p w:rsidR="00000000" w:rsidDel="00000000" w:rsidP="00000000" w:rsidRDefault="00000000" w:rsidRPr="00000000" w14:paraId="00000005">
      <w:pPr>
        <w:rPr>
          <w:sz w:val="24"/>
          <w:szCs w:val="24"/>
        </w:rPr>
      </w:pPr>
      <w:r w:rsidDel="00000000" w:rsidR="00000000" w:rsidRPr="00000000">
        <w:rPr>
          <w:b w:val="1"/>
          <w:sz w:val="24"/>
          <w:szCs w:val="24"/>
          <w:rtl w:val="0"/>
        </w:rPr>
        <w:t xml:space="preserve">Annual Meeting Dates:</w:t>
      </w:r>
      <w:r w:rsidDel="00000000" w:rsidR="00000000" w:rsidRPr="00000000">
        <w:rPr>
          <w:sz w:val="24"/>
          <w:szCs w:val="24"/>
          <w:rtl w:val="0"/>
        </w:rPr>
        <w:t xml:space="preserve"> February 28, 2025; August 27, 2025</w:t>
      </w:r>
    </w:p>
    <w:p w:rsidR="00000000" w:rsidDel="00000000" w:rsidP="00000000" w:rsidRDefault="00000000" w:rsidRPr="00000000" w14:paraId="00000006">
      <w:pPr>
        <w:rPr>
          <w:sz w:val="24"/>
          <w:szCs w:val="24"/>
        </w:rPr>
      </w:pPr>
      <w:r w:rsidDel="00000000" w:rsidR="00000000" w:rsidRPr="00000000">
        <w:rPr>
          <w:sz w:val="24"/>
          <w:szCs w:val="24"/>
          <w:rtl w:val="0"/>
        </w:rPr>
        <w:t xml:space="preserve"> </w:t>
      </w:r>
    </w:p>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Participants:</w:t>
      </w:r>
    </w:p>
    <w:p w:rsidR="00000000" w:rsidDel="00000000" w:rsidP="00000000" w:rsidRDefault="00000000" w:rsidRPr="00000000" w14:paraId="00000008">
      <w:pPr>
        <w:rPr>
          <w:sz w:val="24"/>
          <w:szCs w:val="24"/>
        </w:rPr>
      </w:pPr>
      <w:r w:rsidDel="00000000" w:rsidR="00000000" w:rsidRPr="00000000">
        <w:rPr>
          <w:sz w:val="24"/>
          <w:szCs w:val="24"/>
          <w:rtl w:val="0"/>
        </w:rPr>
        <w:t xml:space="preserve">Please refer to meeting minutes for February and August. &lt;p&gt;</w:t>
      </w:r>
    </w:p>
    <w:p w:rsidR="00000000" w:rsidDel="00000000" w:rsidP="00000000" w:rsidRDefault="00000000" w:rsidRPr="00000000" w14:paraId="00000009">
      <w:pPr>
        <w:rPr>
          <w:sz w:val="24"/>
          <w:szCs w:val="24"/>
        </w:rPr>
      </w:pPr>
      <w:r w:rsidDel="00000000" w:rsidR="00000000" w:rsidRPr="00000000">
        <w:rPr>
          <w:sz w:val="24"/>
          <w:szCs w:val="24"/>
          <w:rtl w:val="0"/>
        </w:rPr>
        <w:t xml:space="preserve">February: </w:t>
      </w:r>
      <w:hyperlink r:id="rId6">
        <w:r w:rsidDel="00000000" w:rsidR="00000000" w:rsidRPr="00000000">
          <w:rPr>
            <w:color w:val="1155cc"/>
            <w:sz w:val="24"/>
            <w:szCs w:val="24"/>
            <w:u w:val="single"/>
            <w:rtl w:val="0"/>
          </w:rPr>
          <w:t xml:space="preserve">https://nimss.org/seas/52716</w:t>
        </w:r>
      </w:hyperlink>
      <w:r w:rsidDel="00000000" w:rsidR="00000000" w:rsidRPr="00000000">
        <w:rPr>
          <w:sz w:val="24"/>
          <w:szCs w:val="24"/>
          <w:rtl w:val="0"/>
        </w:rPr>
        <w:t xml:space="preserve"> </w:t>
      </w:r>
    </w:p>
    <w:p w:rsidR="00000000" w:rsidDel="00000000" w:rsidP="00000000" w:rsidRDefault="00000000" w:rsidRPr="00000000" w14:paraId="0000000A">
      <w:pPr>
        <w:rPr>
          <w:sz w:val="24"/>
          <w:szCs w:val="24"/>
        </w:rPr>
      </w:pPr>
      <w:r w:rsidDel="00000000" w:rsidR="00000000" w:rsidRPr="00000000">
        <w:rPr>
          <w:sz w:val="24"/>
          <w:szCs w:val="24"/>
          <w:rtl w:val="0"/>
        </w:rPr>
        <w:t xml:space="preserve">&lt;p&gt;</w:t>
      </w:r>
    </w:p>
    <w:p w:rsidR="00000000" w:rsidDel="00000000" w:rsidP="00000000" w:rsidRDefault="00000000" w:rsidRPr="00000000" w14:paraId="0000000B">
      <w:pPr>
        <w:rPr>
          <w:sz w:val="24"/>
          <w:szCs w:val="24"/>
        </w:rPr>
      </w:pPr>
      <w:r w:rsidDel="00000000" w:rsidR="00000000" w:rsidRPr="00000000">
        <w:rPr>
          <w:sz w:val="24"/>
          <w:szCs w:val="24"/>
          <w:rtl w:val="0"/>
        </w:rPr>
        <w:t xml:space="preserve">August: </w:t>
      </w:r>
      <w:hyperlink r:id="rId7">
        <w:r w:rsidDel="00000000" w:rsidR="00000000" w:rsidRPr="00000000">
          <w:rPr>
            <w:color w:val="1155cc"/>
            <w:sz w:val="24"/>
            <w:szCs w:val="24"/>
            <w:u w:val="single"/>
            <w:rtl w:val="0"/>
          </w:rPr>
          <w:t xml:space="preserve">https://nimss.org/meetings/52878</w:t>
        </w:r>
      </w:hyperlink>
      <w:r w:rsidDel="00000000" w:rsidR="00000000" w:rsidRPr="00000000">
        <w:rPr>
          <w:sz w:val="24"/>
          <w:szCs w:val="24"/>
          <w:rtl w:val="0"/>
        </w:rPr>
        <w:t xml:space="preserve"> </w:t>
      </w:r>
    </w:p>
    <w:p w:rsidR="00000000" w:rsidDel="00000000" w:rsidP="00000000" w:rsidRDefault="00000000" w:rsidRPr="00000000" w14:paraId="0000000C">
      <w:pPr>
        <w:rPr>
          <w:sz w:val="24"/>
          <w:szCs w:val="24"/>
        </w:rPr>
      </w:pPr>
      <w:r w:rsidDel="00000000" w:rsidR="00000000" w:rsidRPr="00000000">
        <w:rPr>
          <w:sz w:val="24"/>
          <w:szCs w:val="24"/>
          <w:rtl w:val="0"/>
        </w:rPr>
        <w:t xml:space="preserve">&lt;p&gt;</w:t>
      </w:r>
    </w:p>
    <w:p w:rsidR="00000000" w:rsidDel="00000000" w:rsidP="00000000" w:rsidRDefault="00000000" w:rsidRPr="00000000" w14:paraId="0000000D">
      <w:pPr>
        <w:rPr>
          <w:sz w:val="24"/>
          <w:szCs w:val="24"/>
        </w:rPr>
      </w:pPr>
      <w:r w:rsidDel="00000000" w:rsidR="00000000" w:rsidRPr="00000000">
        <w:rPr>
          <w:sz w:val="24"/>
          <w:szCs w:val="24"/>
          <w:rtl w:val="0"/>
        </w:rPr>
        <w:t xml:space="preserve"> </w:t>
      </w:r>
    </w:p>
    <w:p w:rsidR="00000000" w:rsidDel="00000000" w:rsidP="00000000" w:rsidRDefault="00000000" w:rsidRPr="00000000" w14:paraId="0000000E">
      <w:pPr>
        <w:rPr>
          <w:sz w:val="24"/>
          <w:szCs w:val="24"/>
        </w:rPr>
      </w:pPr>
      <w:r w:rsidDel="00000000" w:rsidR="00000000" w:rsidRPr="00000000">
        <w:rPr>
          <w:b w:val="1"/>
          <w:sz w:val="24"/>
          <w:szCs w:val="24"/>
          <w:rtl w:val="0"/>
        </w:rPr>
        <w:t xml:space="preserve">Brief summary of minutes of annual meetings</w:t>
      </w:r>
      <w:r w:rsidDel="00000000" w:rsidR="00000000" w:rsidRPr="00000000">
        <w:rPr>
          <w:sz w:val="24"/>
          <w:szCs w:val="24"/>
          <w:rtl w:val="0"/>
        </w:rPr>
        <w:t xml:space="preserve">:</w:t>
      </w:r>
    </w:p>
    <w:p w:rsidR="00000000" w:rsidDel="00000000" w:rsidP="00000000" w:rsidRDefault="00000000" w:rsidRPr="00000000" w14:paraId="0000000F">
      <w:pPr>
        <w:rPr>
          <w:sz w:val="24"/>
          <w:szCs w:val="24"/>
        </w:rPr>
      </w:pPr>
      <w:r w:rsidDel="00000000" w:rsidR="00000000" w:rsidRPr="00000000">
        <w:rPr>
          <w:sz w:val="24"/>
          <w:szCs w:val="24"/>
          <w:rtl w:val="0"/>
        </w:rPr>
        <w:t xml:space="preserve">Data collection at NCSU on behalf of the group has been completed and cleaned data will be shared with members. The group is developing ideas on how to expand the reach of the materials generated during the project. Spoke with HRI, an active industry partner of the group, during February and August 2025 meetings about industry needs and an update on group materials availability on the HRI’s website was given. Group members in attendance learned about vital early 1900’s collaboration between academic partners with </w:t>
      </w:r>
      <w:r w:rsidDel="00000000" w:rsidR="00000000" w:rsidRPr="00000000">
        <w:rPr>
          <w:sz w:val="24"/>
          <w:szCs w:val="24"/>
          <w:rtl w:val="0"/>
        </w:rPr>
        <w:t xml:space="preserve">Morton Arboretum</w:t>
      </w:r>
      <w:r w:rsidDel="00000000" w:rsidR="00000000" w:rsidRPr="00000000">
        <w:rPr>
          <w:sz w:val="24"/>
          <w:szCs w:val="24"/>
          <w:rtl w:val="0"/>
        </w:rPr>
        <w:t xml:space="preserve"> (during the August meeting tour) and how this collaboration has continued for decades. Group members in attendance in February met with domestic cut flower growers in southern California and learned about their most common issues in production and marketing of their products. &lt;p&gt;</w:t>
      </w:r>
    </w:p>
    <w:p w:rsidR="00000000" w:rsidDel="00000000" w:rsidP="00000000" w:rsidRDefault="00000000" w:rsidRPr="00000000" w14:paraId="00000010">
      <w:pPr>
        <w:rPr>
          <w:sz w:val="24"/>
          <w:szCs w:val="24"/>
        </w:rPr>
      </w:pPr>
      <w:r w:rsidDel="00000000" w:rsidR="00000000" w:rsidRPr="00000000">
        <w:rPr>
          <w:sz w:val="24"/>
          <w:szCs w:val="24"/>
          <w:rtl w:val="0"/>
        </w:rPr>
        <w:t xml:space="preserve"> </w:t>
      </w:r>
    </w:p>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Accomplishments:</w:t>
      </w:r>
    </w:p>
    <w:p w:rsidR="00000000" w:rsidDel="00000000" w:rsidP="00000000" w:rsidRDefault="00000000" w:rsidRPr="00000000" w14:paraId="00000012">
      <w:pPr>
        <w:ind w:left="0" w:firstLine="0"/>
        <w:rPr>
          <w:sz w:val="24"/>
          <w:szCs w:val="24"/>
        </w:rPr>
      </w:pPr>
      <w:r w:rsidDel="00000000" w:rsidR="00000000" w:rsidRPr="00000000">
        <w:rPr>
          <w:sz w:val="24"/>
          <w:szCs w:val="24"/>
          <w:rtl w:val="0"/>
        </w:rPr>
        <w:t xml:space="preserve">The group has made progress this year in Objectives 1 “Investigate environmental, social, and economically sustainable practices in ornamental crop production and landscape systems”, and Objective 2 “Evaluate structural economic characteristics and economic contributions of the U.S. green industry to the national and</w:t>
      </w:r>
    </w:p>
    <w:p w:rsidR="00000000" w:rsidDel="00000000" w:rsidP="00000000" w:rsidRDefault="00000000" w:rsidRPr="00000000" w14:paraId="00000013">
      <w:pPr>
        <w:rPr>
          <w:sz w:val="24"/>
          <w:szCs w:val="24"/>
        </w:rPr>
      </w:pPr>
      <w:r w:rsidDel="00000000" w:rsidR="00000000" w:rsidRPr="00000000">
        <w:rPr>
          <w:sz w:val="24"/>
          <w:szCs w:val="24"/>
          <w:rtl w:val="0"/>
        </w:rPr>
        <w:t xml:space="preserve">state economies of the United States.” These respective activities, outcomes, and outputs are listed below. &lt;p&gt;</w:t>
      </w:r>
    </w:p>
    <w:p w:rsidR="00000000" w:rsidDel="00000000" w:rsidP="00000000" w:rsidRDefault="00000000" w:rsidRPr="00000000" w14:paraId="00000014">
      <w:pPr>
        <w:rPr>
          <w:sz w:val="24"/>
          <w:szCs w:val="24"/>
        </w:rPr>
      </w:pPr>
      <w:r w:rsidDel="00000000" w:rsidR="00000000" w:rsidRPr="00000000">
        <w:rPr>
          <w:sz w:val="24"/>
          <w:szCs w:val="24"/>
          <w:rtl w:val="0"/>
        </w:rPr>
        <w:t xml:space="preserve"> </w:t>
      </w:r>
    </w:p>
    <w:p w:rsidR="00000000" w:rsidDel="00000000" w:rsidP="00000000" w:rsidRDefault="00000000" w:rsidRPr="00000000" w14:paraId="00000015">
      <w:pPr>
        <w:rPr>
          <w:sz w:val="24"/>
          <w:szCs w:val="24"/>
        </w:rPr>
      </w:pPr>
      <w:r w:rsidDel="00000000" w:rsidR="00000000" w:rsidRPr="00000000">
        <w:rPr>
          <w:i w:val="1"/>
          <w:sz w:val="24"/>
          <w:szCs w:val="24"/>
          <w:rtl w:val="0"/>
        </w:rPr>
        <w:t xml:space="preserve">Activities:</w:t>
      </w:r>
      <w:r w:rsidDel="00000000" w:rsidR="00000000" w:rsidRPr="00000000">
        <w:rPr>
          <w:sz w:val="24"/>
          <w:szCs w:val="24"/>
          <w:rtl w:val="0"/>
        </w:rPr>
        <w:t xml:space="preserve"> &lt;p&gt;</w:t>
      </w:r>
    </w:p>
    <w:p w:rsidR="00000000" w:rsidDel="00000000" w:rsidP="00000000" w:rsidRDefault="00000000" w:rsidRPr="00000000" w14:paraId="00000016">
      <w:pPr>
        <w:ind w:left="720" w:firstLine="0"/>
        <w:rPr>
          <w:sz w:val="24"/>
          <w:szCs w:val="24"/>
        </w:rPr>
      </w:pPr>
      <w:r w:rsidDel="00000000" w:rsidR="00000000" w:rsidRPr="00000000">
        <w:rPr>
          <w:sz w:val="24"/>
          <w:szCs w:val="24"/>
          <w:rtl w:val="0"/>
        </w:rPr>
        <w:t xml:space="preserve">A.</w:t>
      </w:r>
      <w:r w:rsidDel="00000000" w:rsidR="00000000" w:rsidRPr="00000000">
        <w:rPr>
          <w:sz w:val="14"/>
          <w:szCs w:val="14"/>
          <w:rtl w:val="0"/>
        </w:rPr>
        <w:t xml:space="preserve">   </w:t>
      </w:r>
      <w:r w:rsidDel="00000000" w:rsidR="00000000" w:rsidRPr="00000000">
        <w:rPr>
          <w:sz w:val="24"/>
          <w:szCs w:val="24"/>
          <w:rtl w:val="0"/>
        </w:rPr>
        <w:t xml:space="preserve">Data collection for the National Green Industry Survey was initiated in Jan. 2024. During the Feb. 2025 meeting, the required sample size had not been reached and the members voted to continue data collection until the Sept. 2025 meeting. &lt;p&gt;</w:t>
      </w:r>
    </w:p>
    <w:p w:rsidR="00000000" w:rsidDel="00000000" w:rsidP="00000000" w:rsidRDefault="00000000" w:rsidRPr="00000000" w14:paraId="00000017">
      <w:pPr>
        <w:rPr>
          <w:sz w:val="24"/>
          <w:szCs w:val="24"/>
        </w:rPr>
      </w:pPr>
      <w:r w:rsidDel="00000000" w:rsidR="00000000" w:rsidRPr="00000000">
        <w:rPr>
          <w:sz w:val="24"/>
          <w:szCs w:val="24"/>
          <w:rtl w:val="0"/>
        </w:rPr>
        <w:t xml:space="preserve"> </w:t>
      </w:r>
    </w:p>
    <w:p w:rsidR="00000000" w:rsidDel="00000000" w:rsidP="00000000" w:rsidRDefault="00000000" w:rsidRPr="00000000" w14:paraId="00000018">
      <w:pPr>
        <w:ind w:left="720" w:firstLine="0"/>
        <w:rPr>
          <w:sz w:val="24"/>
          <w:szCs w:val="24"/>
        </w:rPr>
      </w:pPr>
      <w:r w:rsidDel="00000000" w:rsidR="00000000" w:rsidRPr="00000000">
        <w:rPr>
          <w:sz w:val="24"/>
          <w:szCs w:val="24"/>
          <w:rtl w:val="0"/>
        </w:rPr>
        <w:t xml:space="preserve">B.</w:t>
      </w:r>
      <w:r w:rsidDel="00000000" w:rsidR="00000000" w:rsidRPr="00000000">
        <w:rPr>
          <w:sz w:val="14"/>
          <w:szCs w:val="14"/>
          <w:rtl w:val="0"/>
        </w:rPr>
        <w:t xml:space="preserve">   </w:t>
      </w:r>
      <w:r w:rsidDel="00000000" w:rsidR="00000000" w:rsidRPr="00000000">
        <w:rPr>
          <w:sz w:val="24"/>
          <w:szCs w:val="24"/>
          <w:rtl w:val="0"/>
        </w:rPr>
        <w:t xml:space="preserve">The IMPLAN dataset for 2023 became available in Jan. 2025. Team members Knuth and Hodges began analysis of previous year’s generated input variables. &lt;p&gt;</w:t>
      </w:r>
    </w:p>
    <w:p w:rsidR="00000000" w:rsidDel="00000000" w:rsidP="00000000" w:rsidRDefault="00000000" w:rsidRPr="00000000" w14:paraId="00000019">
      <w:pPr>
        <w:ind w:left="720" w:firstLine="0"/>
        <w:rPr>
          <w:sz w:val="24"/>
          <w:szCs w:val="24"/>
        </w:rPr>
      </w:pPr>
      <w:r w:rsidDel="00000000" w:rsidR="00000000" w:rsidRPr="00000000">
        <w:rPr>
          <w:sz w:val="24"/>
          <w:szCs w:val="24"/>
          <w:rtl w:val="0"/>
        </w:rPr>
        <w:t xml:space="preserve">C.</w:t>
      </w:r>
      <w:r w:rsidDel="00000000" w:rsidR="00000000" w:rsidRPr="00000000">
        <w:rPr>
          <w:sz w:val="14"/>
          <w:szCs w:val="14"/>
          <w:rtl w:val="0"/>
        </w:rPr>
        <w:t xml:space="preserve">  </w:t>
      </w:r>
      <w:r w:rsidDel="00000000" w:rsidR="00000000" w:rsidRPr="00000000">
        <w:rPr>
          <w:sz w:val="24"/>
          <w:szCs w:val="24"/>
          <w:rtl w:val="0"/>
        </w:rPr>
        <w:t xml:space="preserve">Group discussed new problems identified during tours such as reasons for higher input costs and potential solutions, new integrated pest management strategies for delicate product groups (Ranunculus, for example).</w:t>
      </w:r>
    </w:p>
    <w:p w:rsidR="00000000" w:rsidDel="00000000" w:rsidP="00000000" w:rsidRDefault="00000000" w:rsidRPr="00000000" w14:paraId="0000001A">
      <w:pPr>
        <w:ind w:left="720" w:firstLine="0"/>
        <w:rPr>
          <w:sz w:val="24"/>
          <w:szCs w:val="24"/>
        </w:rPr>
      </w:pPr>
      <w:r w:rsidDel="00000000" w:rsidR="00000000" w:rsidRPr="00000000">
        <w:rPr>
          <w:sz w:val="24"/>
          <w:szCs w:val="24"/>
          <w:rtl w:val="0"/>
        </w:rPr>
        <w:t xml:space="preserve">D. Team gave 14 industry presentations and 8 research presentations during the 2024-2025 year.</w:t>
      </w:r>
    </w:p>
    <w:p w:rsidR="00000000" w:rsidDel="00000000" w:rsidP="00000000" w:rsidRDefault="00000000" w:rsidRPr="00000000" w14:paraId="0000001B">
      <w:pPr>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1C">
      <w:pPr>
        <w:rPr>
          <w:sz w:val="24"/>
          <w:szCs w:val="24"/>
        </w:rPr>
      </w:pPr>
      <w:r w:rsidDel="00000000" w:rsidR="00000000" w:rsidRPr="00000000">
        <w:rPr>
          <w:i w:val="1"/>
          <w:sz w:val="24"/>
          <w:szCs w:val="24"/>
          <w:rtl w:val="0"/>
        </w:rPr>
        <w:t xml:space="preserve">Short-term Outcomes</w:t>
      </w:r>
      <w:r w:rsidDel="00000000" w:rsidR="00000000" w:rsidRPr="00000000">
        <w:rPr>
          <w:sz w:val="24"/>
          <w:szCs w:val="24"/>
          <w:rtl w:val="0"/>
        </w:rPr>
        <w:t xml:space="preserve">: &lt;p&gt;</w:t>
      </w:r>
    </w:p>
    <w:p w:rsidR="00000000" w:rsidDel="00000000" w:rsidP="00000000" w:rsidRDefault="00000000" w:rsidRPr="00000000" w14:paraId="0000001D">
      <w:pPr>
        <w:ind w:left="720" w:firstLine="0"/>
        <w:rPr>
          <w:sz w:val="24"/>
          <w:szCs w:val="24"/>
        </w:rPr>
      </w:pPr>
      <w:r w:rsidDel="00000000" w:rsidR="00000000" w:rsidRPr="00000000">
        <w:rPr>
          <w:sz w:val="24"/>
          <w:szCs w:val="24"/>
          <w:rtl w:val="0"/>
        </w:rPr>
        <w:t xml:space="preserve">A.</w:t>
      </w:r>
      <w:r w:rsidDel="00000000" w:rsidR="00000000" w:rsidRPr="00000000">
        <w:rPr>
          <w:sz w:val="14"/>
          <w:szCs w:val="14"/>
          <w:rtl w:val="0"/>
        </w:rPr>
        <w:t xml:space="preserve">   </w:t>
      </w:r>
      <w:r w:rsidDel="00000000" w:rsidR="00000000" w:rsidRPr="00000000">
        <w:rPr>
          <w:sz w:val="24"/>
          <w:szCs w:val="24"/>
          <w:rtl w:val="0"/>
        </w:rPr>
        <w:t xml:space="preserve">Data collection continued with 40,000 additional envelopes being mailed based on random distribution per state. &lt;p&gt;</w:t>
      </w:r>
    </w:p>
    <w:p w:rsidR="00000000" w:rsidDel="00000000" w:rsidP="00000000" w:rsidRDefault="00000000" w:rsidRPr="00000000" w14:paraId="0000001E">
      <w:pPr>
        <w:ind w:left="720" w:firstLine="0"/>
        <w:rPr>
          <w:sz w:val="24"/>
          <w:szCs w:val="24"/>
        </w:rPr>
      </w:pPr>
      <w:r w:rsidDel="00000000" w:rsidR="00000000" w:rsidRPr="00000000">
        <w:rPr>
          <w:sz w:val="24"/>
          <w:szCs w:val="24"/>
          <w:rtl w:val="0"/>
        </w:rPr>
        <w:t xml:space="preserve">B.</w:t>
      </w:r>
      <w:r w:rsidDel="00000000" w:rsidR="00000000" w:rsidRPr="00000000">
        <w:rPr>
          <w:sz w:val="14"/>
          <w:szCs w:val="14"/>
          <w:rtl w:val="0"/>
        </w:rPr>
        <w:t xml:space="preserve">   </w:t>
      </w:r>
      <w:r w:rsidDel="00000000" w:rsidR="00000000" w:rsidRPr="00000000">
        <w:rPr>
          <w:sz w:val="24"/>
          <w:szCs w:val="24"/>
          <w:rtl w:val="0"/>
        </w:rPr>
        <w:t xml:space="preserve">Knuth and Hodges generated six tables for the overall US industry publication. &lt;p&gt;</w:t>
      </w:r>
    </w:p>
    <w:p w:rsidR="00000000" w:rsidDel="00000000" w:rsidP="00000000" w:rsidRDefault="00000000" w:rsidRPr="00000000" w14:paraId="0000001F">
      <w:pPr>
        <w:ind w:left="720" w:firstLine="0"/>
        <w:rPr>
          <w:sz w:val="24"/>
          <w:szCs w:val="24"/>
        </w:rPr>
      </w:pPr>
      <w:r w:rsidDel="00000000" w:rsidR="00000000" w:rsidRPr="00000000">
        <w:rPr>
          <w:sz w:val="24"/>
          <w:szCs w:val="24"/>
          <w:rtl w:val="0"/>
        </w:rPr>
        <w:t xml:space="preserve">C.</w:t>
      </w:r>
      <w:r w:rsidDel="00000000" w:rsidR="00000000" w:rsidRPr="00000000">
        <w:rPr>
          <w:sz w:val="14"/>
          <w:szCs w:val="14"/>
          <w:rtl w:val="0"/>
        </w:rPr>
        <w:t xml:space="preserve">  </w:t>
      </w:r>
      <w:r w:rsidDel="00000000" w:rsidR="00000000" w:rsidRPr="00000000">
        <w:rPr>
          <w:sz w:val="24"/>
          <w:szCs w:val="24"/>
          <w:rtl w:val="0"/>
        </w:rPr>
        <w:t xml:space="preserve">Agreed effort about group members to provide resources to domestic growers affected by new challenges: higher input costs/IPM. &lt;p&gt;</w:t>
      </w:r>
    </w:p>
    <w:p w:rsidR="00000000" w:rsidDel="00000000" w:rsidP="00000000" w:rsidRDefault="00000000" w:rsidRPr="00000000" w14:paraId="00000020">
      <w:pPr>
        <w:rPr>
          <w:sz w:val="24"/>
          <w:szCs w:val="24"/>
        </w:rPr>
      </w:pPr>
      <w:r w:rsidDel="00000000" w:rsidR="00000000" w:rsidRPr="00000000">
        <w:rPr>
          <w:sz w:val="24"/>
          <w:szCs w:val="24"/>
          <w:rtl w:val="0"/>
        </w:rPr>
        <w:t xml:space="preserve"> </w:t>
      </w:r>
    </w:p>
    <w:p w:rsidR="00000000" w:rsidDel="00000000" w:rsidP="00000000" w:rsidRDefault="00000000" w:rsidRPr="00000000" w14:paraId="00000021">
      <w:pPr>
        <w:rPr>
          <w:sz w:val="24"/>
          <w:szCs w:val="24"/>
        </w:rPr>
      </w:pPr>
      <w:r w:rsidDel="00000000" w:rsidR="00000000" w:rsidRPr="00000000">
        <w:rPr>
          <w:i w:val="1"/>
          <w:sz w:val="24"/>
          <w:szCs w:val="24"/>
          <w:rtl w:val="0"/>
        </w:rPr>
        <w:t xml:space="preserve">Outputs</w:t>
      </w:r>
      <w:r w:rsidDel="00000000" w:rsidR="00000000" w:rsidRPr="00000000">
        <w:rPr>
          <w:sz w:val="24"/>
          <w:szCs w:val="24"/>
          <w:rtl w:val="0"/>
        </w:rPr>
        <w:t xml:space="preserve">: &lt;p&gt;</w:t>
      </w:r>
    </w:p>
    <w:p w:rsidR="00000000" w:rsidDel="00000000" w:rsidP="00000000" w:rsidRDefault="00000000" w:rsidRPr="00000000" w14:paraId="00000022">
      <w:pPr>
        <w:ind w:left="720" w:firstLine="0"/>
        <w:rPr>
          <w:sz w:val="24"/>
          <w:szCs w:val="24"/>
        </w:rPr>
      </w:pPr>
      <w:r w:rsidDel="00000000" w:rsidR="00000000" w:rsidRPr="00000000">
        <w:rPr>
          <w:sz w:val="24"/>
          <w:szCs w:val="24"/>
          <w:rtl w:val="0"/>
        </w:rPr>
        <w:t xml:space="preserve">A.</w:t>
      </w:r>
      <w:r w:rsidDel="00000000" w:rsidR="00000000" w:rsidRPr="00000000">
        <w:rPr>
          <w:sz w:val="14"/>
          <w:szCs w:val="14"/>
          <w:rtl w:val="0"/>
        </w:rPr>
        <w:t xml:space="preserve">  </w:t>
      </w:r>
      <w:r w:rsidDel="00000000" w:rsidR="00000000" w:rsidRPr="00000000">
        <w:rPr>
          <w:sz w:val="24"/>
          <w:szCs w:val="24"/>
          <w:rtl w:val="0"/>
        </w:rPr>
        <w:t xml:space="preserve">1,200 complete survey responses were collected from industry members across the United States. Roughly a 9% response rate. &lt;p&gt;</w:t>
      </w:r>
    </w:p>
    <w:p w:rsidR="00000000" w:rsidDel="00000000" w:rsidP="00000000" w:rsidRDefault="00000000" w:rsidRPr="00000000" w14:paraId="00000023">
      <w:pPr>
        <w:ind w:left="720" w:firstLine="0"/>
        <w:rPr>
          <w:sz w:val="24"/>
          <w:szCs w:val="24"/>
        </w:rPr>
      </w:pPr>
      <w:r w:rsidDel="00000000" w:rsidR="00000000" w:rsidRPr="00000000">
        <w:rPr>
          <w:sz w:val="24"/>
          <w:szCs w:val="24"/>
          <w:rtl w:val="0"/>
        </w:rPr>
        <w:t xml:space="preserve">B.</w:t>
      </w:r>
      <w:r w:rsidDel="00000000" w:rsidR="00000000" w:rsidRPr="00000000">
        <w:rPr>
          <w:sz w:val="14"/>
          <w:szCs w:val="14"/>
          <w:rtl w:val="0"/>
        </w:rPr>
        <w:t xml:space="preserve">   </w:t>
      </w:r>
      <w:r w:rsidDel="00000000" w:rsidR="00000000" w:rsidRPr="00000000">
        <w:rPr>
          <w:sz w:val="24"/>
          <w:szCs w:val="24"/>
          <w:rtl w:val="0"/>
        </w:rPr>
        <w:t xml:space="preserve">Publication is in draft for submission to grant endowment’s journal (requirement of receiving the funds for the survey distribution). &lt;p&gt;</w:t>
      </w:r>
    </w:p>
    <w:p w:rsidR="00000000" w:rsidDel="00000000" w:rsidP="00000000" w:rsidRDefault="00000000" w:rsidRPr="00000000" w14:paraId="00000024">
      <w:pPr>
        <w:ind w:left="720" w:firstLine="0"/>
        <w:rPr>
          <w:sz w:val="24"/>
          <w:szCs w:val="24"/>
        </w:rPr>
      </w:pPr>
      <w:r w:rsidDel="00000000" w:rsidR="00000000" w:rsidRPr="00000000">
        <w:rPr>
          <w:sz w:val="24"/>
          <w:szCs w:val="24"/>
          <w:rtl w:val="0"/>
        </w:rPr>
        <w:t xml:space="preserve">C.</w:t>
      </w:r>
      <w:r w:rsidDel="00000000" w:rsidR="00000000" w:rsidRPr="00000000">
        <w:rPr>
          <w:sz w:val="14"/>
          <w:szCs w:val="14"/>
          <w:rtl w:val="0"/>
        </w:rPr>
        <w:t xml:space="preserve">  </w:t>
      </w:r>
      <w:r w:rsidDel="00000000" w:rsidR="00000000" w:rsidRPr="00000000">
        <w:rPr>
          <w:sz w:val="24"/>
          <w:szCs w:val="24"/>
          <w:rtl w:val="0"/>
        </w:rPr>
        <w:t xml:space="preserve">Presentations at Invigorate Illinois Conference, North Carolina Green &amp; Growin’ Conference, and AmericanHort conference are scheduled in 2026 to provide resources. In the reporting period, there were a total of </w:t>
      </w:r>
      <w:r w:rsidDel="00000000" w:rsidR="00000000" w:rsidRPr="00000000">
        <w:rPr>
          <w:sz w:val="24"/>
          <w:szCs w:val="24"/>
          <w:rtl w:val="0"/>
        </w:rPr>
        <w:t xml:space="preserve">X </w:t>
      </w:r>
      <w:r w:rsidDel="00000000" w:rsidR="00000000" w:rsidRPr="00000000">
        <w:rPr>
          <w:sz w:val="24"/>
          <w:szCs w:val="24"/>
          <w:rtl w:val="0"/>
        </w:rPr>
        <w:t xml:space="preserve">presentations across the United States by project members. &lt;p&gt;</w:t>
      </w:r>
    </w:p>
    <w:p w:rsidR="00000000" w:rsidDel="00000000" w:rsidP="00000000" w:rsidRDefault="00000000" w:rsidRPr="00000000" w14:paraId="00000025">
      <w:pPr>
        <w:ind w:left="720" w:firstLine="0"/>
        <w:rPr>
          <w:sz w:val="24"/>
          <w:szCs w:val="24"/>
        </w:rPr>
      </w:pPr>
      <w:r w:rsidDel="00000000" w:rsidR="00000000" w:rsidRPr="00000000">
        <w:rPr>
          <w:sz w:val="24"/>
          <w:szCs w:val="24"/>
          <w:rtl w:val="0"/>
        </w:rPr>
        <w:t xml:space="preserve">D. There were a total of 9</w:t>
      </w:r>
      <w:r w:rsidDel="00000000" w:rsidR="00000000" w:rsidRPr="00000000">
        <w:rPr>
          <w:sz w:val="24"/>
          <w:szCs w:val="24"/>
          <w:rtl w:val="0"/>
        </w:rPr>
        <w:t xml:space="preserve"> peer-reviewed publications and 3 extensio</w:t>
      </w:r>
      <w:r w:rsidDel="00000000" w:rsidR="00000000" w:rsidRPr="00000000">
        <w:rPr>
          <w:sz w:val="24"/>
          <w:szCs w:val="24"/>
          <w:rtl w:val="0"/>
        </w:rPr>
        <w:t xml:space="preserve">n publications generated by the project members. &lt;p&gt;</w:t>
      </w:r>
    </w:p>
    <w:p w:rsidR="00000000" w:rsidDel="00000000" w:rsidP="00000000" w:rsidRDefault="00000000" w:rsidRPr="00000000" w14:paraId="00000026">
      <w:pPr>
        <w:ind w:left="720" w:firstLine="0"/>
        <w:rPr>
          <w:sz w:val="24"/>
          <w:szCs w:val="24"/>
        </w:rPr>
      </w:pPr>
      <w:r w:rsidDel="00000000" w:rsidR="00000000" w:rsidRPr="00000000">
        <w:rPr>
          <w:sz w:val="24"/>
          <w:szCs w:val="24"/>
          <w:rtl w:val="0"/>
        </w:rPr>
        <w:t xml:space="preserve">E. There were a total of</w:t>
      </w:r>
      <w:r w:rsidDel="00000000" w:rsidR="00000000" w:rsidRPr="00000000">
        <w:rPr>
          <w:sz w:val="24"/>
          <w:szCs w:val="24"/>
          <w:rtl w:val="0"/>
        </w:rPr>
        <w:t xml:space="preserve"> 9 industry reports and mass media articles generated</w:t>
      </w:r>
      <w:r w:rsidDel="00000000" w:rsidR="00000000" w:rsidRPr="00000000">
        <w:rPr>
          <w:sz w:val="24"/>
          <w:szCs w:val="24"/>
          <w:rtl w:val="0"/>
        </w:rPr>
        <w:t xml:space="preserve"> by the project members. &lt;p&gt;</w:t>
      </w:r>
    </w:p>
    <w:p w:rsidR="00000000" w:rsidDel="00000000" w:rsidP="00000000" w:rsidRDefault="00000000" w:rsidRPr="00000000" w14:paraId="00000027">
      <w:pPr>
        <w:rPr>
          <w:sz w:val="24"/>
          <w:szCs w:val="24"/>
        </w:rPr>
      </w:pPr>
      <w:r w:rsidDel="00000000" w:rsidR="00000000" w:rsidRPr="00000000">
        <w:rPr>
          <w:sz w:val="24"/>
          <w:szCs w:val="24"/>
          <w:rtl w:val="0"/>
        </w:rPr>
        <w:t xml:space="preserve"> </w:t>
      </w:r>
    </w:p>
    <w:p w:rsidR="00000000" w:rsidDel="00000000" w:rsidP="00000000" w:rsidRDefault="00000000" w:rsidRPr="00000000" w14:paraId="00000028">
      <w:pPr>
        <w:rPr>
          <w:sz w:val="24"/>
          <w:szCs w:val="24"/>
        </w:rPr>
      </w:pPr>
      <w:r w:rsidDel="00000000" w:rsidR="00000000" w:rsidRPr="00000000">
        <w:rPr>
          <w:sz w:val="24"/>
          <w:szCs w:val="24"/>
          <w:rtl w:val="0"/>
        </w:rPr>
        <w:t xml:space="preserve">Milestones: &lt;p&gt;</w:t>
      </w:r>
    </w:p>
    <w:p w:rsidR="00000000" w:rsidDel="00000000" w:rsidP="00000000" w:rsidRDefault="00000000" w:rsidRPr="00000000" w14:paraId="00000029">
      <w:pPr>
        <w:ind w:left="360" w:firstLine="0"/>
        <w:rPr>
          <w:sz w:val="24"/>
          <w:szCs w:val="24"/>
        </w:rPr>
      </w:pPr>
      <w:r w:rsidDel="00000000" w:rsidR="00000000" w:rsidRPr="00000000">
        <w:rPr>
          <w:sz w:val="24"/>
          <w:szCs w:val="24"/>
          <w:rtl w:val="0"/>
        </w:rPr>
        <w:t xml:space="preserve">A.</w:t>
      </w:r>
      <w:r w:rsidDel="00000000" w:rsidR="00000000" w:rsidRPr="00000000">
        <w:rPr>
          <w:sz w:val="14"/>
          <w:szCs w:val="14"/>
          <w:rtl w:val="0"/>
        </w:rPr>
        <w:t xml:space="preserve">   </w:t>
        <w:tab/>
      </w:r>
      <w:r w:rsidDel="00000000" w:rsidR="00000000" w:rsidRPr="00000000">
        <w:rPr>
          <w:sz w:val="24"/>
          <w:szCs w:val="24"/>
          <w:rtl w:val="0"/>
        </w:rPr>
        <w:t xml:space="preserve">Data is prepared and cleaned (milestone achieved). Members have generated excel sheet to collectively decide how to use data and generate publications and presentations (next milestone). &lt;p&gt;</w:t>
      </w:r>
    </w:p>
    <w:p w:rsidR="00000000" w:rsidDel="00000000" w:rsidP="00000000" w:rsidRDefault="00000000" w:rsidRPr="00000000" w14:paraId="0000002A">
      <w:pPr>
        <w:ind w:left="360" w:firstLine="0"/>
        <w:rPr>
          <w:sz w:val="24"/>
          <w:szCs w:val="24"/>
        </w:rPr>
      </w:pPr>
      <w:r w:rsidDel="00000000" w:rsidR="00000000" w:rsidRPr="00000000">
        <w:rPr>
          <w:sz w:val="24"/>
          <w:szCs w:val="24"/>
          <w:rtl w:val="0"/>
        </w:rPr>
        <w:t xml:space="preserve">B.</w:t>
      </w:r>
      <w:r w:rsidDel="00000000" w:rsidR="00000000" w:rsidRPr="00000000">
        <w:rPr>
          <w:sz w:val="14"/>
          <w:szCs w:val="14"/>
          <w:rtl w:val="0"/>
        </w:rPr>
        <w:t xml:space="preserve">   </w:t>
        <w:tab/>
      </w:r>
      <w:r w:rsidDel="00000000" w:rsidR="00000000" w:rsidRPr="00000000">
        <w:rPr>
          <w:sz w:val="24"/>
          <w:szCs w:val="24"/>
          <w:rtl w:val="0"/>
        </w:rPr>
        <w:t xml:space="preserve">Economic impact p</w:t>
      </w:r>
      <w:r w:rsidDel="00000000" w:rsidR="00000000" w:rsidRPr="00000000">
        <w:rPr>
          <w:sz w:val="24"/>
          <w:szCs w:val="24"/>
          <w:rtl w:val="0"/>
        </w:rPr>
        <w:t xml:space="preserve">ublication in draft (milestone achieved). Submission and publication of manuscript next and final milestone. &lt;p&gt;</w:t>
      </w:r>
    </w:p>
    <w:p w:rsidR="00000000" w:rsidDel="00000000" w:rsidP="00000000" w:rsidRDefault="00000000" w:rsidRPr="00000000" w14:paraId="0000002B">
      <w:pPr>
        <w:rPr>
          <w:sz w:val="24"/>
          <w:szCs w:val="24"/>
        </w:rPr>
      </w:pPr>
      <w:r w:rsidDel="00000000" w:rsidR="00000000" w:rsidRPr="00000000">
        <w:rPr>
          <w:sz w:val="24"/>
          <w:szCs w:val="24"/>
          <w:rtl w:val="0"/>
        </w:rPr>
        <w:t xml:space="preserve"> </w:t>
      </w:r>
    </w:p>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Impacts</w:t>
      </w:r>
      <w:r w:rsidDel="00000000" w:rsidR="00000000" w:rsidRPr="00000000">
        <w:rPr>
          <w:b w:val="1"/>
          <w:sz w:val="24"/>
          <w:szCs w:val="24"/>
          <w:rtl w:val="0"/>
        </w:rPr>
        <w:t xml:space="preserve">:</w:t>
      </w:r>
    </w:p>
    <w:p w:rsidR="00000000" w:rsidDel="00000000" w:rsidP="00000000" w:rsidRDefault="00000000" w:rsidRPr="00000000" w14:paraId="0000002D">
      <w:pPr>
        <w:ind w:firstLine="720"/>
        <w:rPr>
          <w:sz w:val="24"/>
          <w:szCs w:val="24"/>
        </w:rPr>
      </w:pPr>
      <w:r w:rsidDel="00000000" w:rsidR="00000000" w:rsidRPr="00000000">
        <w:rPr>
          <w:sz w:val="24"/>
          <w:szCs w:val="24"/>
          <w:rtl w:val="0"/>
        </w:rPr>
        <w:t xml:space="preserve">Information generated from the project’s 2024-25 data collection show that the economic contributions of the eight sectors of the green industry in the United States in 2023 had a direct industry output of $223 billion (B), and total output contributions, including indirect and induced regional economic multiplier effects, of $520 B. The total value-added contribution to Gross Domestic Product (GDP) was $303 B, including labor income contributions of $175 B, other property income contributions of $106 B, and taxes paid to local, state, and federal governments of $69.1 B. The industry had direct employment of 1.67 million full-time and part-time individuals, and total employment contributions of 2.95 million jobs in the broader economy.</w:t>
      </w:r>
      <w:r w:rsidDel="00000000" w:rsidR="00000000" w:rsidRPr="00000000">
        <w:rPr>
          <w:sz w:val="24"/>
          <w:szCs w:val="24"/>
          <w:rtl w:val="0"/>
        </w:rPr>
        <w:t xml:space="preserve">  &lt;p&gt;         </w:t>
      </w:r>
      <w:r w:rsidDel="00000000" w:rsidR="00000000" w:rsidRPr="00000000">
        <w:rPr>
          <w:sz w:val="24"/>
          <w:szCs w:val="24"/>
          <w:rtl w:val="0"/>
        </w:rPr>
        <w:t xml:space="preserve">   </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ind w:left="0" w:firstLine="0"/>
        <w:rPr>
          <w:sz w:val="24"/>
          <w:szCs w:val="24"/>
        </w:rPr>
      </w:pPr>
      <w:r w:rsidDel="00000000" w:rsidR="00000000" w:rsidRPr="00000000">
        <w:rPr>
          <w:sz w:val="24"/>
          <w:szCs w:val="24"/>
          <w:rtl w:val="0"/>
        </w:rPr>
        <w:t xml:space="preserve">The</w:t>
      </w:r>
      <w:r w:rsidDel="00000000" w:rsidR="00000000" w:rsidRPr="00000000">
        <w:rPr>
          <w:sz w:val="24"/>
          <w:szCs w:val="24"/>
          <w:rtl w:val="0"/>
        </w:rPr>
        <w:t xml:space="preserve"> impact these activities have on the greater benefit for society are that industry members can continue to provide high quality ornamental plants to the United States commercial and resident consumers. Without trees, turf, flowers, and shrubs that surround human life, environmental and societal well being would suffer. For example, there is literature to support that higher tree canopy density around a person’s home has a direct correlation with cardiac health. Without nurserymen to grow these trees and landscapers to plant these trees, there is only a reliance on the natural spread of trees which is infinitely slower. Without the generated outputs from this project’s outcomes, industry members may be more likely to have economic uncertainty which would have a significant negative impact on human-plant interactions and subsequently human health. &lt;p&gt;</w:t>
      </w:r>
    </w:p>
    <w:p w:rsidR="00000000" w:rsidDel="00000000" w:rsidP="00000000" w:rsidRDefault="00000000" w:rsidRPr="00000000" w14:paraId="00000030">
      <w:pPr>
        <w:rPr>
          <w:sz w:val="24"/>
          <w:szCs w:val="24"/>
        </w:rPr>
      </w:pPr>
      <w:r w:rsidDel="00000000" w:rsidR="00000000" w:rsidRPr="00000000">
        <w:rPr>
          <w:sz w:val="24"/>
          <w:szCs w:val="24"/>
          <w:rtl w:val="0"/>
        </w:rPr>
        <w:t xml:space="preserve"> </w:t>
      </w:r>
    </w:p>
    <w:p w:rsidR="00000000" w:rsidDel="00000000" w:rsidP="00000000" w:rsidRDefault="00000000" w:rsidRPr="00000000" w14:paraId="00000031">
      <w:pPr>
        <w:ind w:firstLine="20"/>
        <w:rPr>
          <w:sz w:val="24"/>
          <w:szCs w:val="24"/>
        </w:rPr>
      </w:pPr>
      <w:r w:rsidDel="00000000" w:rsidR="00000000" w:rsidRPr="00000000">
        <w:rPr>
          <w:sz w:val="24"/>
          <w:szCs w:val="24"/>
          <w:rtl w:val="0"/>
        </w:rPr>
        <w:t xml:space="preserve">The outputs generated by this project are used by industry associations and members as a non-bias source of information to advocate for the greater U.S. ornamental horticulture industry concerning national legislative matters. In fact, these reports and generated output are frequently cited in short reports from industry members that are shared with Congress and Senate members when discussing H2-A policies, the Farm Bill, and other pertinent topics to the ornamental horticulture industry. &lt;p&gt;</w:t>
      </w:r>
    </w:p>
    <w:p w:rsidR="00000000" w:rsidDel="00000000" w:rsidP="00000000" w:rsidRDefault="00000000" w:rsidRPr="00000000" w14:paraId="00000032">
      <w:pPr>
        <w:rPr>
          <w:sz w:val="24"/>
          <w:szCs w:val="24"/>
        </w:rPr>
      </w:pPr>
      <w:r w:rsidDel="00000000" w:rsidR="00000000" w:rsidRPr="00000000">
        <w:rPr>
          <w:sz w:val="24"/>
          <w:szCs w:val="24"/>
          <w:rtl w:val="0"/>
        </w:rPr>
        <w:t xml:space="preserve"> </w:t>
      </w:r>
    </w:p>
    <w:p w:rsidR="00000000" w:rsidDel="00000000" w:rsidP="00000000" w:rsidRDefault="00000000" w:rsidRPr="00000000" w14:paraId="00000033">
      <w:pPr>
        <w:rPr>
          <w:sz w:val="24"/>
          <w:szCs w:val="24"/>
        </w:rPr>
      </w:pPr>
      <w:r w:rsidDel="00000000" w:rsidR="00000000" w:rsidRPr="00000000">
        <w:rPr>
          <w:b w:val="1"/>
          <w:sz w:val="24"/>
          <w:szCs w:val="24"/>
          <w:rtl w:val="0"/>
        </w:rPr>
        <w:t xml:space="preserve">Publications:</w:t>
      </w: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Baik, Yeongseon, Liqing Li, Charles R. Hall, and M Fetchel. 2025. “An Update of the Literature Supporting the Economic Benefits of Plants: Part 3 The Downside of Increased Housing Prices.,” Journal of Environmental Horticulture. DOI: </w:t>
      </w:r>
      <w:hyperlink r:id="rId8">
        <w:r w:rsidDel="00000000" w:rsidR="00000000" w:rsidRPr="00000000">
          <w:rPr>
            <w:color w:val="1155cc"/>
            <w:sz w:val="24"/>
            <w:szCs w:val="24"/>
            <w:u w:val="single"/>
            <w:rtl w:val="0"/>
          </w:rPr>
          <w:t xml:space="preserve">10.24266/0738-2898-43.1.1</w:t>
        </w:r>
      </w:hyperlink>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sz w:val="24"/>
          <w:szCs w:val="24"/>
          <w:rtl w:val="0"/>
        </w:rPr>
        <w:t xml:space="preserve">Knuth, M., Tregeagle, D., Rihn, A., Behe, B. K., Palma, M., &amp; Peterson, B. (2025). The Influence of Water Conservation Practices on US Nurseries’ Decision to Sell Native Plants. </w:t>
      </w:r>
      <w:r w:rsidDel="00000000" w:rsidR="00000000" w:rsidRPr="00000000">
        <w:rPr>
          <w:i w:val="1"/>
          <w:sz w:val="24"/>
          <w:szCs w:val="24"/>
          <w:rtl w:val="0"/>
        </w:rPr>
        <w:t xml:space="preserve">HortScience</w:t>
      </w:r>
      <w:r w:rsidDel="00000000" w:rsidR="00000000" w:rsidRPr="00000000">
        <w:rPr>
          <w:sz w:val="24"/>
          <w:szCs w:val="24"/>
          <w:rtl w:val="0"/>
        </w:rPr>
        <w:t xml:space="preserve">, </w:t>
      </w:r>
      <w:r w:rsidDel="00000000" w:rsidR="00000000" w:rsidRPr="00000000">
        <w:rPr>
          <w:i w:val="1"/>
          <w:sz w:val="24"/>
          <w:szCs w:val="24"/>
          <w:rtl w:val="0"/>
        </w:rPr>
        <w:t xml:space="preserve">60</w:t>
      </w:r>
      <w:r w:rsidDel="00000000" w:rsidR="00000000" w:rsidRPr="00000000">
        <w:rPr>
          <w:sz w:val="24"/>
          <w:szCs w:val="24"/>
          <w:rtl w:val="0"/>
        </w:rPr>
        <w:t xml:space="preserve">(8), 1359–1365. </w:t>
      </w:r>
      <w:hyperlink r:id="rId9">
        <w:r w:rsidDel="00000000" w:rsidR="00000000" w:rsidRPr="00000000">
          <w:rPr>
            <w:color w:val="467886"/>
            <w:sz w:val="24"/>
            <w:szCs w:val="24"/>
            <w:u w:val="single"/>
            <w:rtl w:val="0"/>
          </w:rPr>
          <w:t xml:space="preserve">https://doi.org/10.21273/HORTSCI18472-25</w:t>
        </w:r>
      </w:hyperlink>
      <w:r w:rsidDel="00000000" w:rsidR="00000000" w:rsidRPr="00000000">
        <w:rPr>
          <w:color w:val="467886"/>
          <w:sz w:val="24"/>
          <w:szCs w:val="24"/>
          <w:u w:val="single"/>
          <w:rtl w:val="0"/>
        </w:rPr>
        <w:t xml:space="preserve"> </w:t>
      </w:r>
      <w:r w:rsidDel="00000000" w:rsidR="00000000" w:rsidRPr="00000000">
        <w:rPr>
          <w:sz w:val="24"/>
          <w:szCs w:val="24"/>
          <w:rtl w:val="0"/>
        </w:rPr>
        <w:t xml:space="preserve">&lt;p&gt;</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spacing w:after="240" w:lineRule="auto"/>
        <w:rPr>
          <w:sz w:val="24"/>
          <w:szCs w:val="24"/>
        </w:rPr>
      </w:pPr>
      <w:r w:rsidDel="00000000" w:rsidR="00000000" w:rsidRPr="00000000">
        <w:rPr>
          <w:sz w:val="24"/>
          <w:szCs w:val="24"/>
          <w:rtl w:val="0"/>
        </w:rPr>
        <w:t xml:space="preserve">Rihn, A. L., </w:t>
      </w:r>
      <w:r w:rsidDel="00000000" w:rsidR="00000000" w:rsidRPr="00000000">
        <w:rPr>
          <w:b w:val="1"/>
          <w:sz w:val="24"/>
          <w:szCs w:val="24"/>
          <w:rtl w:val="0"/>
        </w:rPr>
        <w:t xml:space="preserve">Knuth, M. J.,</w:t>
      </w:r>
      <w:r w:rsidDel="00000000" w:rsidR="00000000" w:rsidRPr="00000000">
        <w:rPr>
          <w:sz w:val="24"/>
          <w:szCs w:val="24"/>
          <w:rtl w:val="0"/>
        </w:rPr>
        <w:t xml:space="preserve"> Huddleston, P. T., and Behe, B. K. 2024. Comparison of online and instore plant buyers. J. Environ. Hort. 42(4), 173-180.</w:t>
      </w:r>
      <w:hyperlink r:id="rId10">
        <w:r w:rsidDel="00000000" w:rsidR="00000000" w:rsidRPr="00000000">
          <w:rPr>
            <w:sz w:val="24"/>
            <w:szCs w:val="24"/>
            <w:rtl w:val="0"/>
          </w:rPr>
          <w:t xml:space="preserve"> </w:t>
        </w:r>
      </w:hyperlink>
      <w:hyperlink r:id="rId11">
        <w:r w:rsidDel="00000000" w:rsidR="00000000" w:rsidRPr="00000000">
          <w:rPr>
            <w:color w:val="0563c1"/>
            <w:sz w:val="24"/>
            <w:szCs w:val="24"/>
            <w:u w:val="single"/>
            <w:rtl w:val="0"/>
          </w:rPr>
          <w:t xml:space="preserve">https://doi.org/10.24266/0738-2898-42.4.173</w:t>
        </w:r>
      </w:hyperlink>
      <w:r w:rsidDel="00000000" w:rsidR="00000000" w:rsidRPr="00000000">
        <w:rPr>
          <w:sz w:val="24"/>
          <w:szCs w:val="24"/>
          <w:rtl w:val="0"/>
        </w:rPr>
        <w:t xml:space="preserve"> &lt;p&gt;</w:t>
      </w: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Woods, V., </w:t>
      </w:r>
      <w:r w:rsidDel="00000000" w:rsidR="00000000" w:rsidRPr="00000000">
        <w:rPr>
          <w:b w:val="1"/>
          <w:sz w:val="24"/>
          <w:szCs w:val="24"/>
          <w:rtl w:val="0"/>
        </w:rPr>
        <w:t xml:space="preserve">Knuth. M.,</w:t>
      </w:r>
      <w:r w:rsidDel="00000000" w:rsidR="00000000" w:rsidRPr="00000000">
        <w:rPr>
          <w:sz w:val="24"/>
          <w:szCs w:val="24"/>
          <w:rtl w:val="0"/>
        </w:rPr>
        <w:t xml:space="preserve"> Schmidt, L., and H. Chen. (Accepted 2025). Backyard biophilia: A survey instrument to measure an attraction to biodiversity in the home garden. HortSci. &lt;p&gt;</w:t>
      </w:r>
    </w:p>
    <w:p w:rsidR="00000000" w:rsidDel="00000000" w:rsidP="00000000" w:rsidRDefault="00000000" w:rsidRPr="00000000" w14:paraId="0000003B">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color w:val="0563c1"/>
          <w:sz w:val="23"/>
          <w:szCs w:val="23"/>
          <w:u w:val="single"/>
        </w:rPr>
      </w:pPr>
      <w:r w:rsidDel="00000000" w:rsidR="00000000" w:rsidRPr="00000000">
        <w:br w:type="page"/>
      </w: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3"/>
          <w:szCs w:val="23"/>
        </w:rPr>
      </w:pPr>
      <w:r w:rsidDel="00000000" w:rsidR="00000000" w:rsidRPr="00000000">
        <w:rPr>
          <w:b w:val="1"/>
          <w:sz w:val="24"/>
          <w:szCs w:val="24"/>
          <w:rtl w:val="0"/>
        </w:rPr>
        <w:t xml:space="preserve">Appendix.</w:t>
      </w:r>
      <w:r w:rsidDel="00000000" w:rsidR="00000000" w:rsidRPr="00000000">
        <w:rPr>
          <w:sz w:val="24"/>
          <w:szCs w:val="24"/>
          <w:rtl w:val="0"/>
        </w:rPr>
        <w:t xml:space="preserve"> Thank you notes to tour stops of the August 2025 meeting.</w:t>
      </w:r>
      <w:r w:rsidDel="00000000" w:rsidR="00000000" w:rsidRPr="00000000">
        <w:rPr>
          <w:rFonts w:ascii="Times New Roman" w:cs="Times New Roman" w:eastAsia="Times New Roman" w:hAnsi="Times New Roman"/>
          <w:sz w:val="23"/>
          <w:szCs w:val="23"/>
        </w:rPr>
        <w:drawing>
          <wp:inline distB="114300" distT="114300" distL="114300" distR="114300">
            <wp:extent cx="6007609" cy="7784053"/>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007609" cy="7784053"/>
                    </a:xfrm>
                    <a:prstGeom prst="rect"/>
                    <a:ln/>
                  </pic:spPr>
                </pic:pic>
              </a:graphicData>
            </a:graphic>
          </wp:inline>
        </w:drawing>
      </w:r>
      <w:r w:rsidDel="00000000" w:rsidR="00000000" w:rsidRPr="00000000">
        <w:rPr>
          <w:rFonts w:ascii="Times New Roman" w:cs="Times New Roman" w:eastAsia="Times New Roman" w:hAnsi="Times New Roman"/>
          <w:sz w:val="23"/>
          <w:szCs w:val="23"/>
        </w:rPr>
        <w:drawing>
          <wp:inline distB="114300" distT="114300" distL="114300" distR="114300">
            <wp:extent cx="5943600" cy="4229100"/>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114300" distT="114300" distL="114300" distR="114300">
            <wp:extent cx="5943600" cy="7912100"/>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79121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114300" distT="114300" distL="114300" distR="114300">
            <wp:extent cx="5943600" cy="5880100"/>
            <wp:effectExtent b="0" l="0" r="0" t="0"/>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943600" cy="58801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114300" distT="114300" distL="114300" distR="114300">
            <wp:extent cx="5943600" cy="7581900"/>
            <wp:effectExtent b="0" l="0" r="0" t="0"/>
            <wp:docPr id="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943600" cy="7581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Pr>
        <w:drawing>
          <wp:inline distB="114300" distT="114300" distL="114300" distR="114300">
            <wp:extent cx="5943600" cy="7569200"/>
            <wp:effectExtent b="0" l="0" r="0" t="0"/>
            <wp:docPr id="5"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43600" cy="7569200"/>
                    </a:xfrm>
                    <a:prstGeom prst="rect"/>
                    <a:ln/>
                  </pic:spPr>
                </pic:pic>
              </a:graphicData>
            </a:graphic>
          </wp:inline>
        </w:drawing>
      </w:r>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24266/0738-2898-42.4.173" TargetMode="External"/><Relationship Id="rId10" Type="http://schemas.openxmlformats.org/officeDocument/2006/relationships/hyperlink" Target="https://doi.org/10.24266/0738-2898-42.4.173" TargetMode="External"/><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21273/HORTSCI18472-25" TargetMode="External"/><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nimss.org/seas/52716" TargetMode="External"/><Relationship Id="rId18" Type="http://schemas.openxmlformats.org/officeDocument/2006/relationships/footer" Target="footer1.xml"/><Relationship Id="rId7" Type="http://schemas.openxmlformats.org/officeDocument/2006/relationships/hyperlink" Target="https://nimss.org/meetings/52878" TargetMode="External"/><Relationship Id="rId8" Type="http://schemas.openxmlformats.org/officeDocument/2006/relationships/hyperlink" Target="https://doi.org/10.24266/0738-2898-43.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