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F823" w14:textId="77777777" w:rsidR="008C4585" w:rsidRDefault="008C4585" w:rsidP="008C4585">
      <w:pPr>
        <w:pStyle w:val="Heading1"/>
        <w:spacing w:before="0"/>
        <w:rPr>
          <w:rStyle w:val="Strong"/>
          <w:rFonts w:ascii="Segoe UI" w:hAnsi="Segoe UI" w:cs="Segoe UI"/>
          <w:b/>
          <w:bCs/>
          <w:color w:val="000000" w:themeColor="text1"/>
        </w:rPr>
      </w:pPr>
      <w:r w:rsidRPr="008C4585">
        <w:rPr>
          <w:rStyle w:val="Strong"/>
          <w:rFonts w:ascii="Segoe UI" w:hAnsi="Segoe UI" w:cs="Segoe UI"/>
          <w:b/>
          <w:bCs/>
          <w:color w:val="000000" w:themeColor="text1"/>
        </w:rPr>
        <w:t xml:space="preserve">S-1075 Multistate Project 2025 </w:t>
      </w:r>
    </w:p>
    <w:p w14:paraId="0F68E7BB" w14:textId="564DF7DF" w:rsidR="008C4585" w:rsidRPr="008C4585" w:rsidRDefault="008C4585" w:rsidP="008C4585">
      <w:pPr>
        <w:pStyle w:val="Heading1"/>
        <w:spacing w:before="0"/>
        <w:rPr>
          <w:color w:val="000000" w:themeColor="text1"/>
          <w:sz w:val="27"/>
          <w:szCs w:val="27"/>
        </w:rPr>
      </w:pPr>
      <w:r w:rsidRPr="008C4585">
        <w:rPr>
          <w:rStyle w:val="Strong"/>
          <w:rFonts w:ascii="Segoe UI" w:hAnsi="Segoe UI" w:cs="Segoe UI"/>
          <w:b/>
          <w:bCs/>
          <w:color w:val="000000" w:themeColor="text1"/>
        </w:rPr>
        <w:t>Annual Meeting and the Symposium on Science and Technology Driving the Bioeconomy</w:t>
      </w:r>
    </w:p>
    <w:p w14:paraId="12ADAC9C" w14:textId="512F8376" w:rsidR="00C6737C" w:rsidRPr="008C4585" w:rsidRDefault="000809EC" w:rsidP="008C4585">
      <w:pPr>
        <w:jc w:val="center"/>
        <w:rPr>
          <w:sz w:val="28"/>
          <w:szCs w:val="28"/>
        </w:rPr>
      </w:pPr>
      <w:r w:rsidRPr="008C4585">
        <w:rPr>
          <w:sz w:val="28"/>
          <w:szCs w:val="28"/>
        </w:rPr>
        <w:t>July 10, 2025</w:t>
      </w:r>
    </w:p>
    <w:p w14:paraId="62217313" w14:textId="78794231" w:rsidR="008C4585" w:rsidRPr="008C4585" w:rsidRDefault="008C4585" w:rsidP="008C4585">
      <w:pPr>
        <w:jc w:val="center"/>
        <w:rPr>
          <w:sz w:val="28"/>
          <w:szCs w:val="28"/>
        </w:rPr>
      </w:pPr>
      <w:r w:rsidRPr="008C4585">
        <w:rPr>
          <w:sz w:val="28"/>
          <w:szCs w:val="28"/>
        </w:rPr>
        <w:t>Meeting Minutes</w:t>
      </w:r>
    </w:p>
    <w:p w14:paraId="4A5BBB8B" w14:textId="7BC62965" w:rsidR="008C4585" w:rsidRDefault="008C4585" w:rsidP="008C4585">
      <w:pPr>
        <w:pStyle w:val="Heading2"/>
      </w:pPr>
      <w:r>
        <w:t>Organizers</w:t>
      </w:r>
    </w:p>
    <w:p w14:paraId="002ADDFE" w14:textId="7320BF67" w:rsidR="008C4585" w:rsidRPr="008C4585" w:rsidRDefault="008C4585" w:rsidP="008C4585">
      <w:pPr>
        <w:pStyle w:val="Heading3"/>
      </w:pPr>
      <w:r w:rsidRPr="008C4585">
        <w:t>Meeting Logistics</w:t>
      </w:r>
    </w:p>
    <w:p w14:paraId="07930928" w14:textId="70B080A0" w:rsidR="008C4585" w:rsidRPr="008C4585" w:rsidRDefault="008C4585" w:rsidP="008C4585">
      <w:pPr>
        <w:ind w:left="720"/>
      </w:pPr>
      <w:r w:rsidRPr="008C4585">
        <w:t>Chair - Ewumbua Monono – </w:t>
      </w:r>
      <w:hyperlink r:id="rId8" w:tgtFrame="_blank" w:history="1">
        <w:r w:rsidRPr="008C4585">
          <w:rPr>
            <w:rFonts w:ascii="inherit" w:hAnsi="inherit"/>
            <w:color w:val="0000FF"/>
            <w:u w:val="single"/>
          </w:rPr>
          <w:t>ewumbua.monono@ndsu.edu</w:t>
        </w:r>
      </w:hyperlink>
    </w:p>
    <w:p w14:paraId="2ED2F9A2" w14:textId="16CB2B54" w:rsidR="008C4585" w:rsidRPr="008C4585" w:rsidRDefault="008C4585" w:rsidP="008C4585">
      <w:pPr>
        <w:ind w:left="720"/>
      </w:pPr>
      <w:r w:rsidRPr="008C4585">
        <w:t>Vice Chair - Tyler Barzee – </w:t>
      </w:r>
      <w:hyperlink r:id="rId9" w:tgtFrame="_blank" w:history="1">
        <w:r w:rsidRPr="008C4585">
          <w:rPr>
            <w:rFonts w:ascii="inherit" w:hAnsi="inherit"/>
            <w:color w:val="0000FF"/>
            <w:u w:val="single"/>
          </w:rPr>
          <w:t>tjbarzee@uky.edu</w:t>
        </w:r>
      </w:hyperlink>
    </w:p>
    <w:p w14:paraId="6EBF833F" w14:textId="75FE2073" w:rsidR="008C4585" w:rsidRPr="008C4585" w:rsidRDefault="008C4585" w:rsidP="008C4585">
      <w:pPr>
        <w:ind w:left="720"/>
      </w:pPr>
      <w:r w:rsidRPr="008C4585">
        <w:t>Secretary - Abigail Engelberth – </w:t>
      </w:r>
      <w:hyperlink r:id="rId10" w:tgtFrame="_blank" w:history="1">
        <w:r w:rsidRPr="008C4585">
          <w:rPr>
            <w:rFonts w:ascii="inherit" w:hAnsi="inherit"/>
            <w:color w:val="0000FF"/>
            <w:u w:val="single"/>
          </w:rPr>
          <w:t>aengelbe@purdue.edu</w:t>
        </w:r>
      </w:hyperlink>
    </w:p>
    <w:p w14:paraId="441AFCD0" w14:textId="77777777" w:rsidR="008C4585" w:rsidRPr="008C4585" w:rsidRDefault="008C4585" w:rsidP="008C4585">
      <w:pPr>
        <w:pStyle w:val="Heading3"/>
      </w:pPr>
      <w:r w:rsidRPr="008C4585">
        <w:t>Student Travel Award</w:t>
      </w:r>
    </w:p>
    <w:p w14:paraId="5A618F74" w14:textId="77777777" w:rsidR="008C4585" w:rsidRPr="008C4585" w:rsidRDefault="008C4585" w:rsidP="008C4585">
      <w:pPr>
        <w:ind w:left="720"/>
      </w:pPr>
      <w:r w:rsidRPr="008C4585">
        <w:t>Ewumbua Monono – </w:t>
      </w:r>
      <w:hyperlink r:id="rId11" w:tgtFrame="_blank" w:history="1">
        <w:r w:rsidRPr="008C4585">
          <w:rPr>
            <w:rFonts w:ascii="inherit" w:hAnsi="inherit"/>
            <w:color w:val="0000FF"/>
            <w:u w:val="single"/>
          </w:rPr>
          <w:t>ewumbua.monono@ndsu.edu</w:t>
        </w:r>
      </w:hyperlink>
    </w:p>
    <w:p w14:paraId="6BC93173" w14:textId="77777777" w:rsidR="008C4585" w:rsidRPr="008C4585" w:rsidRDefault="008C4585" w:rsidP="008C4585">
      <w:pPr>
        <w:ind w:left="720"/>
      </w:pPr>
      <w:r w:rsidRPr="008C4585">
        <w:t>Chris Saffron – </w:t>
      </w:r>
      <w:hyperlink r:id="rId12" w:tgtFrame="_blank" w:history="1">
        <w:r w:rsidRPr="008C4585">
          <w:rPr>
            <w:rFonts w:ascii="inherit" w:hAnsi="inherit"/>
            <w:color w:val="0000FF"/>
            <w:u w:val="single"/>
          </w:rPr>
          <w:t>saffronc@msu.edu</w:t>
        </w:r>
      </w:hyperlink>
    </w:p>
    <w:p w14:paraId="207B0097" w14:textId="77777777" w:rsidR="008C4585" w:rsidRPr="008C4585" w:rsidRDefault="008C4585" w:rsidP="008C4585">
      <w:pPr>
        <w:pStyle w:val="Heading3"/>
      </w:pPr>
      <w:r w:rsidRPr="008C4585">
        <w:t>Abstract Submission and Proceedings</w:t>
      </w:r>
    </w:p>
    <w:p w14:paraId="29D2656B" w14:textId="77777777" w:rsidR="008C4585" w:rsidRPr="008C4585" w:rsidRDefault="008C4585" w:rsidP="008C4585">
      <w:pPr>
        <w:ind w:left="720"/>
      </w:pPr>
      <w:r w:rsidRPr="008C4585">
        <w:t>Ken Rausch – </w:t>
      </w:r>
      <w:hyperlink r:id="rId13" w:tgtFrame="_blank" w:history="1">
        <w:r w:rsidRPr="008C4585">
          <w:rPr>
            <w:rFonts w:ascii="inherit" w:hAnsi="inherit"/>
            <w:color w:val="0000FF"/>
            <w:u w:val="single"/>
          </w:rPr>
          <w:t>krausch@illinois.edu</w:t>
        </w:r>
      </w:hyperlink>
    </w:p>
    <w:p w14:paraId="07897511" w14:textId="77777777" w:rsidR="008C4585" w:rsidRPr="008C4585" w:rsidRDefault="008C4585" w:rsidP="008C4585">
      <w:pPr>
        <w:ind w:left="720"/>
      </w:pPr>
      <w:r w:rsidRPr="008C4585">
        <w:t>Mike Tumbleson – </w:t>
      </w:r>
      <w:hyperlink r:id="rId14" w:tgtFrame="_blank" w:history="1">
        <w:r w:rsidRPr="008C4585">
          <w:rPr>
            <w:rFonts w:ascii="inherit" w:hAnsi="inherit"/>
            <w:color w:val="0000FF"/>
            <w:u w:val="single"/>
          </w:rPr>
          <w:t>mtumbles@illinois.edu</w:t>
        </w:r>
      </w:hyperlink>
    </w:p>
    <w:p w14:paraId="4BF076F0" w14:textId="77777777" w:rsidR="008C4585" w:rsidRDefault="008C4585" w:rsidP="008C4585"/>
    <w:p w14:paraId="7A824A12" w14:textId="77777777" w:rsidR="0079521F" w:rsidRDefault="0079521F" w:rsidP="0079521F">
      <w:pPr>
        <w:pStyle w:val="Heading2"/>
        <w:spacing w:before="120"/>
      </w:pPr>
      <w:r>
        <w:t>Attendees</w:t>
      </w:r>
    </w:p>
    <w:p w14:paraId="15640DF8" w14:textId="1029587D" w:rsidR="0079521F" w:rsidRDefault="0079521F" w:rsidP="0079521F">
      <w:pPr>
        <w:pStyle w:val="Heading3"/>
        <w:spacing w:before="60"/>
      </w:pPr>
      <w:r>
        <w:t>In-person</w:t>
      </w:r>
    </w:p>
    <w:p w14:paraId="72B98D7F" w14:textId="13427480" w:rsidR="0079521F" w:rsidRPr="0079521F" w:rsidRDefault="0079521F" w:rsidP="0079521F">
      <w:r w:rsidRPr="0079521F">
        <w:rPr>
          <w:b/>
          <w:bCs/>
        </w:rPr>
        <w:t>Faculty</w:t>
      </w:r>
      <w:r>
        <w:t xml:space="preserve">: </w:t>
      </w:r>
      <w:r w:rsidRPr="0079521F">
        <w:t>Tyler Barzee (University of Kentucky), Bishnu Karki (South Dakota State University), David Brune (University of Missouri), Igathinathane Cannayen (North Dakota State University), Adam Davis (University of Illinois Urbana-Champaign), Abby Engelberth (Purdue University), Sun Ferreira (University of Arkansas - Division Dep. of Food Science), Ademola Hammed (North Dakota State University), Gal Hochman (University of Illinois Urbana-Champaign), Loren Isom (University of Nebraska), Hassan Khodaei (Auburn University, Biosystems Eng.), Ewumbua Monono (North Dakota State University), Ananda Nanjundaswamy (South Dakota State University), Roger Ruan (University of Minnesota), Chris Saffron (Michigan State University), Mike Tumbleson (University of Illinois Urbana-Champaign), Ke Wang (Department of Food Science Cornell Agritech), Bin Yang (Washington State University), Ruihong Zhang (UC Davis)</w:t>
      </w:r>
    </w:p>
    <w:p w14:paraId="6EE1653B" w14:textId="4BBA8BCA" w:rsidR="0079521F" w:rsidRPr="0079521F" w:rsidRDefault="0079521F" w:rsidP="0079521F"/>
    <w:p w14:paraId="08B93D5D" w14:textId="38FD17EA" w:rsidR="0079521F" w:rsidRPr="0079521F" w:rsidRDefault="0079521F" w:rsidP="0079521F">
      <w:r w:rsidRPr="0079521F">
        <w:rPr>
          <w:b/>
          <w:bCs/>
        </w:rPr>
        <w:t>Students</w:t>
      </w:r>
      <w:r>
        <w:t xml:space="preserve">: </w:t>
      </w:r>
      <w:r w:rsidRPr="0079521F">
        <w:t xml:space="preserve">Syeda Sabrina Akter (University of Kentucky), Fadilulahi Badmus (North Dakota State University), Sharad Bhattara (South Dakota State University), Christiana Bitrus (North Dakota State University), Yosselin Castro Islas (University of Kentucky), Anye Drum (South Dakota State University), Mathala Juliet Gupta (North Dakota State University), Muhammad Haris (North Dakota State University), </w:t>
      </w:r>
      <w:r w:rsidR="00A65711" w:rsidRPr="0079521F">
        <w:t>Olumide Olubiyo (Division of Agriculture- University of Arkansas),</w:t>
      </w:r>
      <w:r w:rsidR="00A65711">
        <w:t xml:space="preserve"> </w:t>
      </w:r>
      <w:r w:rsidRPr="0079521F">
        <w:t xml:space="preserve">Pa Tamba Jammeh (North Dakota State University), Astina Joice (North Dakota State University), Nirat Katuwal (South Dakota State University), Bhawana Khadka (South Dakota State University), Li Ian Koh (North Dakota State University), Vishnu </w:t>
      </w:r>
      <w:r w:rsidR="005460DB">
        <w:t>V</w:t>
      </w:r>
      <w:r w:rsidRPr="0079521F">
        <w:t xml:space="preserve">ikashini Pasupuleti (South Dakota State </w:t>
      </w:r>
      <w:r w:rsidRPr="0079521F">
        <w:lastRenderedPageBreak/>
        <w:t>University), Sandeep Paudel (South Dakota State University), Kevaughn Prout (South Dakota State University), Sumi Regmi (South Dakota State University), Santosh Rijal (South Dakota State University), Keya Roy (University of Kentucky), Judith Senyah (North Dakota State University), Brady Steffen (South Dakota State University), Chitra Sudalaimani (South Dakota State University), Suvro Talukdar (University of Kentucky), Humeera Tazeen (North Dakota State University), Santosh Thapa (South Dakota State University), Talha Tufaique (North Dakota State University)</w:t>
      </w:r>
    </w:p>
    <w:p w14:paraId="04965697" w14:textId="1D347E44" w:rsidR="0079521F" w:rsidRDefault="0079521F" w:rsidP="0079521F">
      <w:pPr>
        <w:pStyle w:val="Heading3"/>
      </w:pPr>
      <w:r>
        <w:t xml:space="preserve">Virtual </w:t>
      </w:r>
    </w:p>
    <w:p w14:paraId="4103C839" w14:textId="49250727" w:rsidR="0079521F" w:rsidRPr="0079521F" w:rsidRDefault="0079521F" w:rsidP="0079521F">
      <w:r w:rsidRPr="0079521F">
        <w:rPr>
          <w:b/>
          <w:bCs/>
        </w:rPr>
        <w:t>Faculty</w:t>
      </w:r>
      <w:r>
        <w:t xml:space="preserve">: </w:t>
      </w:r>
      <w:r w:rsidRPr="0079521F">
        <w:t>Hasan Atiyeh (Oklahoma State University), Ajay Shah (Oklahoma State University), Juliana Vasco-Correa (Penn State University)</w:t>
      </w:r>
    </w:p>
    <w:p w14:paraId="2BC38A28" w14:textId="5EED50CD" w:rsidR="00C6737C" w:rsidRPr="00D86241" w:rsidRDefault="000809EC" w:rsidP="00D86241">
      <w:pPr>
        <w:pStyle w:val="Heading2"/>
      </w:pPr>
      <w:r w:rsidRPr="00D86241">
        <w:t xml:space="preserve">Introductions and Invited Speakers </w:t>
      </w:r>
    </w:p>
    <w:p w14:paraId="0797DDD4" w14:textId="77777777" w:rsidR="00C6737C" w:rsidRPr="008C4585" w:rsidRDefault="000809EC" w:rsidP="008C4585">
      <w:pPr>
        <w:pStyle w:val="Heading3"/>
      </w:pPr>
      <w:r w:rsidRPr="008C4585">
        <w:t>Opening Remarks</w:t>
      </w:r>
    </w:p>
    <w:p w14:paraId="6825B174" w14:textId="77777777" w:rsidR="00C6737C" w:rsidRPr="00D86241" w:rsidRDefault="000809EC" w:rsidP="00D86241">
      <w:pPr>
        <w:rPr>
          <w:color w:val="000000" w:themeColor="text1"/>
        </w:rPr>
      </w:pPr>
      <w:r w:rsidRPr="00D86241">
        <w:rPr>
          <w:color w:val="000000" w:themeColor="text1"/>
        </w:rPr>
        <w:t>Dr. Ewumbua Monono (North Dakota State University)</w:t>
      </w:r>
    </w:p>
    <w:p w14:paraId="0915AC20" w14:textId="77777777" w:rsidR="00C6737C" w:rsidRPr="00D86241" w:rsidRDefault="000809EC" w:rsidP="00D86241">
      <w:pPr>
        <w:rPr>
          <w:color w:val="000000" w:themeColor="text1"/>
        </w:rPr>
      </w:pPr>
      <w:r w:rsidRPr="00D86241">
        <w:rPr>
          <w:color w:val="000000" w:themeColor="text1"/>
        </w:rPr>
        <w:t>Dr. Monono welcomed attendees to the S-1075 Annual Meeting and Symposium, expressing appreciation for their participation and highlighting the importance of collaborative research in advancing the bioeconomy.</w:t>
      </w:r>
    </w:p>
    <w:p w14:paraId="1F78FA34" w14:textId="77777777" w:rsidR="00C6737C" w:rsidRPr="00D86241" w:rsidRDefault="000809EC" w:rsidP="008C4585">
      <w:pPr>
        <w:pStyle w:val="Heading3"/>
      </w:pPr>
      <w:r w:rsidRPr="00D86241">
        <w:t>Invited Speaker #1: Dr. Beth Conerty</w:t>
      </w:r>
    </w:p>
    <w:p w14:paraId="7F2367AA" w14:textId="77777777" w:rsidR="00C6737C" w:rsidRPr="00D86241" w:rsidRDefault="000809EC" w:rsidP="00D86241">
      <w:pPr>
        <w:rPr>
          <w:color w:val="000000" w:themeColor="text1"/>
        </w:rPr>
      </w:pPr>
      <w:r w:rsidRPr="00D86241">
        <w:rPr>
          <w:color w:val="000000" w:themeColor="text1"/>
        </w:rPr>
        <w:t>Regional Innovation Officer, iFAB – Illinois Fermentation and Agriculture Biomanufacturing Hub</w:t>
      </w:r>
    </w:p>
    <w:p w14:paraId="0C4CEF9A" w14:textId="77777777" w:rsidR="00C6737C" w:rsidRPr="00D86241" w:rsidRDefault="000809EC" w:rsidP="00D86241">
      <w:pPr>
        <w:rPr>
          <w:color w:val="000000" w:themeColor="text1"/>
        </w:rPr>
      </w:pPr>
      <w:r w:rsidRPr="00D86241">
        <w:rPr>
          <w:color w:val="000000" w:themeColor="text1"/>
        </w:rPr>
        <w:t>Dr. Conerty provided an overview of the Integrated Bioprocessing Research Laboratory (IBRL) at the University of Illinois Urbana-Champaign, emphasizing its role in supporting innovation and commercialization in biomanufacturing:</w:t>
      </w:r>
    </w:p>
    <w:p w14:paraId="7E90B0BF" w14:textId="77777777" w:rsidR="00C6737C" w:rsidRPr="00D86241" w:rsidRDefault="000809EC" w:rsidP="00D86241">
      <w:pPr>
        <w:pStyle w:val="ListBullet"/>
        <w:rPr>
          <w:color w:val="000000" w:themeColor="text1"/>
        </w:rPr>
      </w:pPr>
      <w:r w:rsidRPr="00D86241">
        <w:rPr>
          <w:color w:val="000000" w:themeColor="text1"/>
        </w:rPr>
        <w:t>Facility Overview:</w:t>
      </w:r>
    </w:p>
    <w:p w14:paraId="0FD98C5F" w14:textId="77777777" w:rsidR="00C6737C" w:rsidRPr="00D86241" w:rsidRDefault="000809EC" w:rsidP="00D86241">
      <w:pPr>
        <w:pStyle w:val="ListBullet2"/>
        <w:rPr>
          <w:color w:val="000000" w:themeColor="text1"/>
        </w:rPr>
      </w:pPr>
      <w:r w:rsidRPr="00D86241">
        <w:rPr>
          <w:color w:val="000000" w:themeColor="text1"/>
        </w:rPr>
        <w:t>IBRL is a pilot-scale facility designed to de-risk emerging biotechnologies.</w:t>
      </w:r>
    </w:p>
    <w:p w14:paraId="27EACB17" w14:textId="77777777" w:rsidR="00C6737C" w:rsidRPr="00D86241" w:rsidRDefault="000809EC" w:rsidP="00D86241">
      <w:pPr>
        <w:pStyle w:val="ListBullet2"/>
        <w:rPr>
          <w:color w:val="000000" w:themeColor="text1"/>
        </w:rPr>
      </w:pPr>
      <w:r w:rsidRPr="00D86241">
        <w:rPr>
          <w:color w:val="000000" w:themeColor="text1"/>
        </w:rPr>
        <w:t>Operational for six years, with a staff of 68.</w:t>
      </w:r>
    </w:p>
    <w:p w14:paraId="757DFC22" w14:textId="77777777" w:rsidR="00C6737C" w:rsidRPr="00D86241" w:rsidRDefault="000809EC" w:rsidP="00D86241">
      <w:pPr>
        <w:pStyle w:val="ListBullet2"/>
        <w:rPr>
          <w:color w:val="000000" w:themeColor="text1"/>
        </w:rPr>
      </w:pPr>
      <w:r w:rsidRPr="00D86241">
        <w:rPr>
          <w:color w:val="000000" w:themeColor="text1"/>
        </w:rPr>
        <w:t>Supports external users and industry clients.</w:t>
      </w:r>
    </w:p>
    <w:p w14:paraId="7D3E88D4" w14:textId="77777777" w:rsidR="00C6737C" w:rsidRPr="00D86241" w:rsidRDefault="000809EC" w:rsidP="00D86241">
      <w:pPr>
        <w:pStyle w:val="ListBullet"/>
        <w:rPr>
          <w:color w:val="000000" w:themeColor="text1"/>
        </w:rPr>
      </w:pPr>
      <w:r w:rsidRPr="00D86241">
        <w:rPr>
          <w:color w:val="000000" w:themeColor="text1"/>
        </w:rPr>
        <w:t>Educational Programs:</w:t>
      </w:r>
    </w:p>
    <w:p w14:paraId="63141D2E" w14:textId="77777777" w:rsidR="00C6737C" w:rsidRPr="00D86241" w:rsidRDefault="000809EC" w:rsidP="00D86241">
      <w:pPr>
        <w:pStyle w:val="ListBullet2"/>
        <w:rPr>
          <w:color w:val="000000" w:themeColor="text1"/>
        </w:rPr>
      </w:pPr>
      <w:r w:rsidRPr="00D86241">
        <w:rPr>
          <w:color w:val="000000" w:themeColor="text1"/>
        </w:rPr>
        <w:t>Offers 30–40 paid undergraduate internships annually.</w:t>
      </w:r>
    </w:p>
    <w:p w14:paraId="15B06AC5" w14:textId="77777777" w:rsidR="00C6737C" w:rsidRPr="00D86241" w:rsidRDefault="000809EC" w:rsidP="00D86241">
      <w:pPr>
        <w:pStyle w:val="ListBullet2"/>
        <w:rPr>
          <w:color w:val="000000" w:themeColor="text1"/>
        </w:rPr>
      </w:pPr>
      <w:r w:rsidRPr="00D86241">
        <w:rPr>
          <w:color w:val="000000" w:themeColor="text1"/>
        </w:rPr>
        <w:t>Hosts professional master’s programs in bioprocessing, bioenergy, and synthetic biology.</w:t>
      </w:r>
    </w:p>
    <w:p w14:paraId="2BFCC11D" w14:textId="77777777" w:rsidR="00C6737C" w:rsidRPr="00D86241" w:rsidRDefault="000809EC" w:rsidP="00D86241">
      <w:pPr>
        <w:pStyle w:val="ListBullet2"/>
        <w:rPr>
          <w:color w:val="000000" w:themeColor="text1"/>
        </w:rPr>
      </w:pPr>
      <w:r w:rsidRPr="00D86241">
        <w:rPr>
          <w:color w:val="000000" w:themeColor="text1"/>
        </w:rPr>
        <w:t>Provides continuing education for industry professionals.</w:t>
      </w:r>
    </w:p>
    <w:p w14:paraId="1A893C32" w14:textId="77777777" w:rsidR="00C6737C" w:rsidRPr="00D86241" w:rsidRDefault="000809EC" w:rsidP="00D86241">
      <w:pPr>
        <w:pStyle w:val="ListBullet2"/>
        <w:rPr>
          <w:color w:val="000000" w:themeColor="text1"/>
        </w:rPr>
      </w:pPr>
      <w:r w:rsidRPr="00D86241">
        <w:rPr>
          <w:color w:val="000000" w:themeColor="text1"/>
        </w:rPr>
        <w:t>Graduates have strong job placement in food and bioproduct sectors.</w:t>
      </w:r>
    </w:p>
    <w:p w14:paraId="1DD708A8" w14:textId="77777777" w:rsidR="00C6737C" w:rsidRPr="00D86241" w:rsidRDefault="000809EC" w:rsidP="00D86241">
      <w:pPr>
        <w:pStyle w:val="ListBullet"/>
        <w:rPr>
          <w:color w:val="000000" w:themeColor="text1"/>
        </w:rPr>
      </w:pPr>
      <w:r w:rsidRPr="00D86241">
        <w:rPr>
          <w:color w:val="000000" w:themeColor="text1"/>
        </w:rPr>
        <w:t>Biomanufacturing Focus:</w:t>
      </w:r>
    </w:p>
    <w:p w14:paraId="5D73DB3D" w14:textId="77777777" w:rsidR="00C6737C" w:rsidRPr="00D86241" w:rsidRDefault="000809EC" w:rsidP="00D86241">
      <w:pPr>
        <w:pStyle w:val="ListBullet2"/>
        <w:rPr>
          <w:color w:val="000000" w:themeColor="text1"/>
        </w:rPr>
      </w:pPr>
      <w:r w:rsidRPr="00D86241">
        <w:rPr>
          <w:color w:val="000000" w:themeColor="text1"/>
        </w:rPr>
        <w:t>Converts plant materials into high-value products using various fermentation methods:</w:t>
      </w:r>
    </w:p>
    <w:p w14:paraId="40AE9491" w14:textId="77777777" w:rsidR="00C6737C" w:rsidRPr="00D86241" w:rsidRDefault="000809EC" w:rsidP="00D86241">
      <w:pPr>
        <w:pStyle w:val="ListBullet3"/>
        <w:rPr>
          <w:color w:val="000000" w:themeColor="text1"/>
        </w:rPr>
      </w:pPr>
      <w:r w:rsidRPr="00D86241">
        <w:rPr>
          <w:color w:val="000000" w:themeColor="text1"/>
        </w:rPr>
        <w:t>Traditional, biomass-based, and precision fermentation.</w:t>
      </w:r>
    </w:p>
    <w:p w14:paraId="04865D9D" w14:textId="77777777" w:rsidR="00C6737C" w:rsidRPr="00D86241" w:rsidRDefault="000809EC" w:rsidP="00D86241">
      <w:pPr>
        <w:pStyle w:val="ListBullet3"/>
        <w:rPr>
          <w:color w:val="000000" w:themeColor="text1"/>
        </w:rPr>
      </w:pPr>
      <w:r w:rsidRPr="00D86241">
        <w:rPr>
          <w:color w:val="000000" w:themeColor="text1"/>
        </w:rPr>
        <w:t>Precision fermentation uses engineered microbes as “cell factories” to produce target ingredients.</w:t>
      </w:r>
    </w:p>
    <w:p w14:paraId="31C208D5" w14:textId="77777777" w:rsidR="00C6737C" w:rsidRPr="00D86241" w:rsidRDefault="000809EC" w:rsidP="00D86241">
      <w:pPr>
        <w:pStyle w:val="ListBullet3"/>
        <w:rPr>
          <w:color w:val="000000" w:themeColor="text1"/>
        </w:rPr>
      </w:pPr>
      <w:r w:rsidRPr="00D86241">
        <w:rPr>
          <w:color w:val="000000" w:themeColor="text1"/>
        </w:rPr>
        <w:t>Applications include food ingredients (e.g., egg and milk proteins, palm oil alternatives), biomaterials (e.g., leather and thread alternatives), and agricultural inputs (e.g., bio-based herbicides).</w:t>
      </w:r>
    </w:p>
    <w:p w14:paraId="7BD9A114" w14:textId="77777777" w:rsidR="00C6737C" w:rsidRPr="00D86241" w:rsidRDefault="000809EC" w:rsidP="00D86241">
      <w:pPr>
        <w:pStyle w:val="ListBullet"/>
        <w:rPr>
          <w:color w:val="000000" w:themeColor="text1"/>
        </w:rPr>
      </w:pPr>
      <w:r w:rsidRPr="00D86241">
        <w:rPr>
          <w:color w:val="000000" w:themeColor="text1"/>
        </w:rPr>
        <w:t>Infrastructure Challenges:</w:t>
      </w:r>
    </w:p>
    <w:p w14:paraId="670563F7" w14:textId="77777777" w:rsidR="00C6737C" w:rsidRPr="00D86241" w:rsidRDefault="000809EC" w:rsidP="00D86241">
      <w:pPr>
        <w:pStyle w:val="ListBullet2"/>
        <w:rPr>
          <w:color w:val="000000" w:themeColor="text1"/>
        </w:rPr>
      </w:pPr>
      <w:r w:rsidRPr="00D86241">
        <w:rPr>
          <w:color w:val="000000" w:themeColor="text1"/>
        </w:rPr>
        <w:lastRenderedPageBreak/>
        <w:t>The U.S. lacks sufficient demonstration-scale fermentation capacity.</w:t>
      </w:r>
    </w:p>
    <w:p w14:paraId="54D8E38E" w14:textId="77777777" w:rsidR="00C6737C" w:rsidRPr="00D86241" w:rsidRDefault="000809EC" w:rsidP="00D86241">
      <w:pPr>
        <w:pStyle w:val="ListBullet2"/>
        <w:rPr>
          <w:color w:val="000000" w:themeColor="text1"/>
        </w:rPr>
      </w:pPr>
      <w:r w:rsidRPr="00D86241">
        <w:rPr>
          <w:color w:val="000000" w:themeColor="text1"/>
        </w:rPr>
        <w:t>Many startups must conduct trials in Europe.</w:t>
      </w:r>
    </w:p>
    <w:p w14:paraId="1F9E9CD9" w14:textId="77777777" w:rsidR="00C6737C" w:rsidRPr="00D86241" w:rsidRDefault="000809EC" w:rsidP="00D86241">
      <w:pPr>
        <w:pStyle w:val="ListBullet2"/>
        <w:rPr>
          <w:color w:val="000000" w:themeColor="text1"/>
        </w:rPr>
      </w:pPr>
      <w:r w:rsidRPr="00D86241">
        <w:rPr>
          <w:color w:val="000000" w:themeColor="text1"/>
        </w:rPr>
        <w:t>iFAB aims to address this gap through its tech hub initiative, supported by the U.S. Department of Commerce.</w:t>
      </w:r>
    </w:p>
    <w:p w14:paraId="22F3F7A4" w14:textId="77777777" w:rsidR="00C6737C" w:rsidRPr="00D86241" w:rsidRDefault="000809EC" w:rsidP="00D86241">
      <w:pPr>
        <w:pStyle w:val="ListBullet"/>
        <w:rPr>
          <w:color w:val="000000" w:themeColor="text1"/>
        </w:rPr>
      </w:pPr>
      <w:r w:rsidRPr="00D86241">
        <w:rPr>
          <w:color w:val="000000" w:themeColor="text1"/>
        </w:rPr>
        <w:t>Scale and Partnerships:</w:t>
      </w:r>
    </w:p>
    <w:p w14:paraId="04701B02" w14:textId="77777777" w:rsidR="00C6737C" w:rsidRPr="00D86241" w:rsidRDefault="000809EC" w:rsidP="00D86241">
      <w:pPr>
        <w:pStyle w:val="ListBullet2"/>
        <w:rPr>
          <w:color w:val="000000" w:themeColor="text1"/>
        </w:rPr>
      </w:pPr>
      <w:r w:rsidRPr="00D86241">
        <w:rPr>
          <w:color w:val="000000" w:themeColor="text1"/>
        </w:rPr>
        <w:t>IBRL operates at 1,500L scale; iProof (Decatur, IL) at 13,000L; ADM at 100,000L.</w:t>
      </w:r>
    </w:p>
    <w:p w14:paraId="5BC8D9B1" w14:textId="77777777" w:rsidR="00C6737C" w:rsidRPr="00D86241" w:rsidRDefault="000809EC" w:rsidP="00D86241">
      <w:pPr>
        <w:pStyle w:val="ListBullet2"/>
        <w:rPr>
          <w:color w:val="000000" w:themeColor="text1"/>
        </w:rPr>
      </w:pPr>
      <w:r w:rsidRPr="00D86241">
        <w:rPr>
          <w:color w:val="000000" w:themeColor="text1"/>
        </w:rPr>
        <w:t>Illinois offers a complete testing ecosystem within a 100-mile radius.</w:t>
      </w:r>
    </w:p>
    <w:p w14:paraId="43543D75" w14:textId="77777777" w:rsidR="00C6737C" w:rsidRPr="00D86241" w:rsidRDefault="000809EC" w:rsidP="00D86241">
      <w:pPr>
        <w:pStyle w:val="ListBullet2"/>
        <w:rPr>
          <w:color w:val="000000" w:themeColor="text1"/>
        </w:rPr>
      </w:pPr>
      <w:r w:rsidRPr="00D86241">
        <w:rPr>
          <w:color w:val="000000" w:themeColor="text1"/>
        </w:rPr>
        <w:t>iFAB/IBRL has been recognized in national funding reports.</w:t>
      </w:r>
    </w:p>
    <w:p w14:paraId="11C68966" w14:textId="77777777" w:rsidR="00C6737C" w:rsidRPr="00D86241" w:rsidRDefault="000809EC" w:rsidP="008C4585">
      <w:pPr>
        <w:pStyle w:val="Heading3"/>
      </w:pPr>
      <w:r w:rsidRPr="00D86241">
        <w:t>Welcome Remarks</w:t>
      </w:r>
    </w:p>
    <w:p w14:paraId="0891C402" w14:textId="77777777" w:rsidR="00C6737C" w:rsidRPr="00D86241" w:rsidRDefault="000809EC" w:rsidP="00D86241">
      <w:pPr>
        <w:rPr>
          <w:color w:val="000000" w:themeColor="text1"/>
        </w:rPr>
      </w:pPr>
      <w:r w:rsidRPr="00D86241">
        <w:rPr>
          <w:color w:val="000000" w:themeColor="text1"/>
        </w:rPr>
        <w:t>Dr. Frank Casey (NDSU)</w:t>
      </w:r>
    </w:p>
    <w:p w14:paraId="5B192BCF" w14:textId="77777777" w:rsidR="00C6737C" w:rsidRPr="00D86241" w:rsidRDefault="000809EC" w:rsidP="00D86241">
      <w:pPr>
        <w:rPr>
          <w:color w:val="000000" w:themeColor="text1"/>
        </w:rPr>
      </w:pPr>
      <w:r w:rsidRPr="00D86241">
        <w:rPr>
          <w:color w:val="000000" w:themeColor="text1"/>
        </w:rPr>
        <w:t>Dr. Casey emphasized the value of multistate collaborations and welcomed participants to NDSU and its facilities.</w:t>
      </w:r>
    </w:p>
    <w:p w14:paraId="6FB28F0B" w14:textId="77777777" w:rsidR="00C6737C" w:rsidRPr="00D86241" w:rsidRDefault="000809EC" w:rsidP="008C4585">
      <w:pPr>
        <w:pStyle w:val="Heading3"/>
      </w:pPr>
      <w:r w:rsidRPr="00D86241">
        <w:t>USDA-NIFA Update</w:t>
      </w:r>
    </w:p>
    <w:p w14:paraId="302699F3" w14:textId="77777777" w:rsidR="00C6737C" w:rsidRPr="00D86241" w:rsidRDefault="000809EC" w:rsidP="00D86241">
      <w:pPr>
        <w:rPr>
          <w:color w:val="000000" w:themeColor="text1"/>
        </w:rPr>
      </w:pPr>
      <w:r w:rsidRPr="00D86241">
        <w:rPr>
          <w:color w:val="000000" w:themeColor="text1"/>
        </w:rPr>
        <w:t>Vicki Finenstadt, USDA-NIFA Advisor</w:t>
      </w:r>
    </w:p>
    <w:p w14:paraId="53ECC9FB" w14:textId="77777777" w:rsidR="00C6737C" w:rsidRPr="00D86241" w:rsidRDefault="000809EC" w:rsidP="00D86241">
      <w:pPr>
        <w:rPr>
          <w:color w:val="000000" w:themeColor="text1"/>
        </w:rPr>
      </w:pPr>
      <w:r w:rsidRPr="00D86241">
        <w:rPr>
          <w:color w:val="000000" w:themeColor="text1"/>
        </w:rPr>
        <w:t>- Provided updates on the upcoming FY25 Request for Applications (RFAs).</w:t>
      </w:r>
    </w:p>
    <w:p w14:paraId="3E0D7FB2" w14:textId="77777777" w:rsidR="00C6737C" w:rsidRPr="00D86241" w:rsidRDefault="000809EC" w:rsidP="00D86241">
      <w:pPr>
        <w:rPr>
          <w:color w:val="000000" w:themeColor="text1"/>
        </w:rPr>
      </w:pPr>
      <w:r w:rsidRPr="00D86241">
        <w:rPr>
          <w:color w:val="000000" w:themeColor="text1"/>
        </w:rPr>
        <w:t>- Biomanufacturing remains a key focus area.</w:t>
      </w:r>
    </w:p>
    <w:p w14:paraId="26E89D84" w14:textId="77777777" w:rsidR="00C6737C" w:rsidRPr="00D86241" w:rsidRDefault="000809EC" w:rsidP="00D86241">
      <w:pPr>
        <w:rPr>
          <w:color w:val="000000" w:themeColor="text1"/>
        </w:rPr>
      </w:pPr>
      <w:r w:rsidRPr="00D86241">
        <w:rPr>
          <w:color w:val="000000" w:themeColor="text1"/>
        </w:rPr>
        <w:t>- USDA is working to facilitate researcher matchmaking to enhance collaboration.</w:t>
      </w:r>
    </w:p>
    <w:p w14:paraId="44EFA03A" w14:textId="77777777" w:rsidR="00C6737C" w:rsidRPr="00D86241" w:rsidRDefault="000809EC" w:rsidP="008C4585">
      <w:pPr>
        <w:pStyle w:val="Heading3"/>
      </w:pPr>
      <w:r w:rsidRPr="00D86241">
        <w:t>Invited Speaker #2: Dr. Chad Ulven</w:t>
      </w:r>
    </w:p>
    <w:p w14:paraId="37E2B1A7" w14:textId="77777777" w:rsidR="00C6737C" w:rsidRPr="00D86241" w:rsidRDefault="000809EC" w:rsidP="00D86241">
      <w:pPr>
        <w:rPr>
          <w:color w:val="000000" w:themeColor="text1"/>
        </w:rPr>
      </w:pPr>
      <w:r w:rsidRPr="00D86241">
        <w:rPr>
          <w:color w:val="000000" w:themeColor="text1"/>
        </w:rPr>
        <w:t>Professor, Mechanical Engineering, NDSU &amp; Site Director, Center for Bioplastics and Biocomposites (CB2)</w:t>
      </w:r>
    </w:p>
    <w:p w14:paraId="0EC632AE" w14:textId="77777777" w:rsidR="00C6737C" w:rsidRPr="00D86241" w:rsidRDefault="000809EC" w:rsidP="00D86241">
      <w:pPr>
        <w:rPr>
          <w:color w:val="000000" w:themeColor="text1"/>
        </w:rPr>
      </w:pPr>
      <w:r w:rsidRPr="00D86241">
        <w:rPr>
          <w:color w:val="000000" w:themeColor="text1"/>
        </w:rPr>
        <w:t>Dr. Ulven discussed the mission and structure of CB2, a collaborative research center focused on bioplastics and biocomposites:</w:t>
      </w:r>
    </w:p>
    <w:p w14:paraId="6492FCF9" w14:textId="77777777" w:rsidR="00C6737C" w:rsidRPr="00D86241" w:rsidRDefault="000809EC" w:rsidP="00D86241">
      <w:pPr>
        <w:pStyle w:val="ListBullet"/>
        <w:rPr>
          <w:color w:val="000000" w:themeColor="text1"/>
        </w:rPr>
      </w:pPr>
      <w:r w:rsidRPr="00D86241">
        <w:rPr>
          <w:color w:val="000000" w:themeColor="text1"/>
        </w:rPr>
        <w:t>Participating Institutions:</w:t>
      </w:r>
    </w:p>
    <w:p w14:paraId="75FFCC66" w14:textId="77777777" w:rsidR="00C6737C" w:rsidRPr="00D86241" w:rsidRDefault="000809EC" w:rsidP="00D86241">
      <w:pPr>
        <w:pStyle w:val="ListBullet2"/>
        <w:rPr>
          <w:color w:val="000000" w:themeColor="text1"/>
        </w:rPr>
      </w:pPr>
      <w:r w:rsidRPr="00D86241">
        <w:rPr>
          <w:color w:val="000000" w:themeColor="text1"/>
        </w:rPr>
        <w:t>North Dakota State University</w:t>
      </w:r>
    </w:p>
    <w:p w14:paraId="71514D21" w14:textId="77777777" w:rsidR="00C6737C" w:rsidRPr="00D86241" w:rsidRDefault="000809EC" w:rsidP="00D86241">
      <w:pPr>
        <w:pStyle w:val="ListBullet2"/>
        <w:rPr>
          <w:color w:val="000000" w:themeColor="text1"/>
        </w:rPr>
      </w:pPr>
      <w:r w:rsidRPr="00D86241">
        <w:rPr>
          <w:color w:val="000000" w:themeColor="text1"/>
        </w:rPr>
        <w:t>Washington State University</w:t>
      </w:r>
    </w:p>
    <w:p w14:paraId="5708D05D" w14:textId="77777777" w:rsidR="00C6737C" w:rsidRPr="00D86241" w:rsidRDefault="000809EC" w:rsidP="00D86241">
      <w:pPr>
        <w:pStyle w:val="ListBullet2"/>
        <w:rPr>
          <w:color w:val="000000" w:themeColor="text1"/>
        </w:rPr>
      </w:pPr>
      <w:r w:rsidRPr="00D86241">
        <w:rPr>
          <w:color w:val="000000" w:themeColor="text1"/>
        </w:rPr>
        <w:t>Iowa State University</w:t>
      </w:r>
    </w:p>
    <w:p w14:paraId="082E76DA" w14:textId="77777777" w:rsidR="00C6737C" w:rsidRPr="00D86241" w:rsidRDefault="000809EC" w:rsidP="00D86241">
      <w:pPr>
        <w:pStyle w:val="ListBullet2"/>
        <w:rPr>
          <w:color w:val="000000" w:themeColor="text1"/>
        </w:rPr>
      </w:pPr>
      <w:r w:rsidRPr="00D86241">
        <w:rPr>
          <w:color w:val="000000" w:themeColor="text1"/>
        </w:rPr>
        <w:t>University of Georgia</w:t>
      </w:r>
    </w:p>
    <w:p w14:paraId="79922E5B" w14:textId="77777777" w:rsidR="00C6737C" w:rsidRPr="00D86241" w:rsidRDefault="000809EC" w:rsidP="00D86241">
      <w:pPr>
        <w:pStyle w:val="ListBullet"/>
        <w:rPr>
          <w:color w:val="000000" w:themeColor="text1"/>
        </w:rPr>
      </w:pPr>
      <w:r w:rsidRPr="00D86241">
        <w:rPr>
          <w:color w:val="000000" w:themeColor="text1"/>
        </w:rPr>
        <w:t>Industry Collaboration:</w:t>
      </w:r>
    </w:p>
    <w:p w14:paraId="78095CDB" w14:textId="77777777" w:rsidR="00C6737C" w:rsidRPr="00D86241" w:rsidRDefault="000809EC" w:rsidP="00D86241">
      <w:pPr>
        <w:pStyle w:val="ListBullet2"/>
        <w:rPr>
          <w:color w:val="000000" w:themeColor="text1"/>
        </w:rPr>
      </w:pPr>
      <w:r w:rsidRPr="00D86241">
        <w:rPr>
          <w:color w:val="000000" w:themeColor="text1"/>
        </w:rPr>
        <w:t>Partners include Keurig Dr Pepper, Mars, Hyundai, ADM, Cargill, BASF, and others.</w:t>
      </w:r>
    </w:p>
    <w:p w14:paraId="1A3C2AE2" w14:textId="77777777" w:rsidR="00C6737C" w:rsidRPr="00D86241" w:rsidRDefault="000809EC" w:rsidP="00D86241">
      <w:pPr>
        <w:pStyle w:val="ListBullet2"/>
        <w:rPr>
          <w:color w:val="000000" w:themeColor="text1"/>
        </w:rPr>
      </w:pPr>
      <w:r w:rsidRPr="00D86241">
        <w:rPr>
          <w:color w:val="000000" w:themeColor="text1"/>
        </w:rPr>
        <w:t>Projects are industry-driven and span synthesis, modeling, processing, and sustainability.</w:t>
      </w:r>
    </w:p>
    <w:p w14:paraId="1145D42E" w14:textId="77777777" w:rsidR="00C6737C" w:rsidRPr="00D86241" w:rsidRDefault="000809EC" w:rsidP="00D86241">
      <w:pPr>
        <w:pStyle w:val="ListBullet"/>
        <w:rPr>
          <w:color w:val="000000" w:themeColor="text1"/>
        </w:rPr>
      </w:pPr>
      <w:r w:rsidRPr="00D86241">
        <w:rPr>
          <w:color w:val="000000" w:themeColor="text1"/>
        </w:rPr>
        <w:t>Research and Impact:</w:t>
      </w:r>
    </w:p>
    <w:p w14:paraId="3EE9A567" w14:textId="77777777" w:rsidR="00C6737C" w:rsidRPr="00D86241" w:rsidRDefault="000809EC" w:rsidP="00D86241">
      <w:pPr>
        <w:pStyle w:val="ListBullet2"/>
        <w:rPr>
          <w:color w:val="000000" w:themeColor="text1"/>
        </w:rPr>
      </w:pPr>
      <w:r w:rsidRPr="00D86241">
        <w:rPr>
          <w:color w:val="000000" w:themeColor="text1"/>
        </w:rPr>
        <w:t>Over 11 years of data, 15+ patents, and numerous publications.</w:t>
      </w:r>
    </w:p>
    <w:p w14:paraId="247B3F34" w14:textId="77777777" w:rsidR="00C6737C" w:rsidRPr="00D86241" w:rsidRDefault="000809EC" w:rsidP="00D86241">
      <w:pPr>
        <w:pStyle w:val="ListBullet2"/>
        <w:rPr>
          <w:color w:val="000000" w:themeColor="text1"/>
        </w:rPr>
      </w:pPr>
      <w:r w:rsidRPr="00D86241">
        <w:rPr>
          <w:color w:val="000000" w:themeColor="text1"/>
        </w:rPr>
        <w:t>Strong student training pipeline leading to internships and employment.</w:t>
      </w:r>
    </w:p>
    <w:p w14:paraId="27347F1D" w14:textId="77777777" w:rsidR="00C6737C" w:rsidRPr="00D86241" w:rsidRDefault="000809EC" w:rsidP="00D86241">
      <w:pPr>
        <w:pStyle w:val="ListBullet2"/>
        <w:rPr>
          <w:color w:val="000000" w:themeColor="text1"/>
        </w:rPr>
      </w:pPr>
      <w:r w:rsidRPr="00D86241">
        <w:rPr>
          <w:color w:val="000000" w:themeColor="text1"/>
        </w:rPr>
        <w:t>Example projects include agave fiber composites for automotive parts and algae-based fertilizers.</w:t>
      </w:r>
    </w:p>
    <w:p w14:paraId="23FD517B" w14:textId="77777777" w:rsidR="00C6737C" w:rsidRPr="00D86241" w:rsidRDefault="000809EC" w:rsidP="00D86241">
      <w:pPr>
        <w:pStyle w:val="ListBullet"/>
        <w:rPr>
          <w:color w:val="000000" w:themeColor="text1"/>
        </w:rPr>
      </w:pPr>
      <w:r w:rsidRPr="00D86241">
        <w:rPr>
          <w:color w:val="000000" w:themeColor="text1"/>
        </w:rPr>
        <w:t>Membership Model:</w:t>
      </w:r>
    </w:p>
    <w:p w14:paraId="482B9C46" w14:textId="77777777" w:rsidR="00C6737C" w:rsidRPr="00D86241" w:rsidRDefault="000809EC" w:rsidP="00D86241">
      <w:pPr>
        <w:pStyle w:val="ListBullet2"/>
        <w:rPr>
          <w:color w:val="000000" w:themeColor="text1"/>
        </w:rPr>
      </w:pPr>
      <w:r w:rsidRPr="00D86241">
        <w:rPr>
          <w:color w:val="000000" w:themeColor="text1"/>
        </w:rPr>
        <w:t>Annual membership: $35,000 (standard), $17,500 (small companies).</w:t>
      </w:r>
    </w:p>
    <w:p w14:paraId="4C16F2EF" w14:textId="77777777" w:rsidR="00C6737C" w:rsidRPr="00D86241" w:rsidRDefault="000809EC" w:rsidP="00D86241">
      <w:pPr>
        <w:pStyle w:val="ListBullet2"/>
        <w:rPr>
          <w:color w:val="000000" w:themeColor="text1"/>
        </w:rPr>
      </w:pPr>
      <w:r w:rsidRPr="00D86241">
        <w:rPr>
          <w:color w:val="000000" w:themeColor="text1"/>
        </w:rPr>
        <w:t>Members gain access to research outcomes, IP rights (negotiated), and collaboration opportunities.</w:t>
      </w:r>
    </w:p>
    <w:p w14:paraId="27729BEF" w14:textId="77777777" w:rsidR="00C6737C" w:rsidRPr="00D86241" w:rsidRDefault="000809EC" w:rsidP="00D86241">
      <w:pPr>
        <w:pStyle w:val="ListBullet2"/>
        <w:rPr>
          <w:color w:val="000000" w:themeColor="text1"/>
        </w:rPr>
      </w:pPr>
      <w:r w:rsidRPr="00D86241">
        <w:rPr>
          <w:color w:val="000000" w:themeColor="text1"/>
        </w:rPr>
        <w:lastRenderedPageBreak/>
        <w:t>Project selection is guided by an industrial advisory board through a seed concept proposal process.</w:t>
      </w:r>
    </w:p>
    <w:p w14:paraId="72D4E2E2" w14:textId="77777777" w:rsidR="00C6737C" w:rsidRPr="00D86241" w:rsidRDefault="000809EC" w:rsidP="00D86241">
      <w:pPr>
        <w:pStyle w:val="ListBullet"/>
        <w:rPr>
          <w:color w:val="000000" w:themeColor="text1"/>
        </w:rPr>
      </w:pPr>
      <w:r w:rsidRPr="00D86241">
        <w:rPr>
          <w:color w:val="000000" w:themeColor="text1"/>
        </w:rPr>
        <w:t>Future Opportunities:</w:t>
      </w:r>
    </w:p>
    <w:p w14:paraId="6C10E7BE" w14:textId="77777777" w:rsidR="00C6737C" w:rsidRPr="00D86241" w:rsidRDefault="000809EC" w:rsidP="00D86241">
      <w:pPr>
        <w:pStyle w:val="ListBullet2"/>
        <w:rPr>
          <w:color w:val="000000" w:themeColor="text1"/>
        </w:rPr>
      </w:pPr>
      <w:r w:rsidRPr="00D86241">
        <w:rPr>
          <w:color w:val="000000" w:themeColor="text1"/>
        </w:rPr>
        <w:t>Current expansion is limited to existing university partners during Phase II.</w:t>
      </w:r>
    </w:p>
    <w:p w14:paraId="7543941A" w14:textId="61D43E93" w:rsidR="00D86241" w:rsidRDefault="000809EC" w:rsidP="00D86241">
      <w:pPr>
        <w:pStyle w:val="ListBullet2"/>
      </w:pPr>
      <w:r w:rsidRPr="00D86241">
        <w:rPr>
          <w:color w:val="000000" w:themeColor="text1"/>
        </w:rPr>
        <w:t>Phase III may allow additional institutions to join.</w:t>
      </w:r>
    </w:p>
    <w:p w14:paraId="41B59A8F" w14:textId="5ADFB858" w:rsidR="00D86241" w:rsidRDefault="00E3512E" w:rsidP="00D86241">
      <w:pPr>
        <w:pStyle w:val="ListBullet2"/>
        <w:numPr>
          <w:ilvl w:val="0"/>
          <w:numId w:val="0"/>
        </w:numPr>
      </w:pPr>
      <w:r>
        <w:rPr>
          <w:noProof/>
        </w:rPr>
        <w:pict w14:anchorId="53AFFD61">
          <v:rect id="_x0000_i1025" alt="" style="width:398.75pt;height:.05pt;mso-width-percent:0;mso-height-percent:0;mso-width-percent:0;mso-height-percent:0" o:hrpct="852" o:hralign="center" o:hrstd="t" o:hr="t" fillcolor="#a0a0a0" stroked="f"/>
        </w:pict>
      </w:r>
    </w:p>
    <w:p w14:paraId="1A177148" w14:textId="77777777" w:rsidR="00D86241" w:rsidRDefault="00D86241" w:rsidP="00D86241">
      <w:pPr>
        <w:pStyle w:val="Heading2"/>
      </w:pPr>
      <w:r>
        <w:t xml:space="preserve">Station Updates </w:t>
      </w:r>
    </w:p>
    <w:p w14:paraId="7BAFAF40" w14:textId="21FD8680" w:rsidR="00D86241" w:rsidRDefault="00D86241" w:rsidP="00D86241">
      <w:pPr>
        <w:pStyle w:val="ListBullet2"/>
        <w:numPr>
          <w:ilvl w:val="0"/>
          <w:numId w:val="0"/>
        </w:numPr>
      </w:pPr>
      <w:r>
        <w:t>See slides and reports for updates from individual stations</w:t>
      </w:r>
    </w:p>
    <w:p w14:paraId="2C38F25E" w14:textId="77777777" w:rsidR="00D86241" w:rsidRPr="0053235E" w:rsidRDefault="00D86241" w:rsidP="008C4585">
      <w:pPr>
        <w:pStyle w:val="Heading2"/>
      </w:pPr>
      <w:r w:rsidRPr="0053235E">
        <w:t>S1075 Business Meeting Summary</w:t>
      </w:r>
    </w:p>
    <w:p w14:paraId="3FCDCA85" w14:textId="77777777" w:rsidR="00D86241" w:rsidRPr="0053235E" w:rsidRDefault="00D86241" w:rsidP="008C4585">
      <w:pPr>
        <w:pStyle w:val="Heading3"/>
      </w:pPr>
      <w:r w:rsidRPr="0053235E">
        <w:t>Executive Updates</w:t>
      </w:r>
    </w:p>
    <w:p w14:paraId="54DF2E80" w14:textId="77777777" w:rsidR="00D86241" w:rsidRPr="0053235E" w:rsidRDefault="00D86241" w:rsidP="00D86241">
      <w:pPr>
        <w:numPr>
          <w:ilvl w:val="0"/>
          <w:numId w:val="10"/>
        </w:numPr>
      </w:pPr>
      <w:r w:rsidRPr="0053235E">
        <w:t>No formal proposal writing is required at this time.</w:t>
      </w:r>
    </w:p>
    <w:p w14:paraId="72F82BF0" w14:textId="77777777" w:rsidR="00D86241" w:rsidRPr="0053235E" w:rsidRDefault="00D86241" w:rsidP="008C4585">
      <w:pPr>
        <w:pStyle w:val="Heading3"/>
      </w:pPr>
      <w:r w:rsidRPr="0053235E">
        <w:t>Key Discussion Points from Meeting Minutes</w:t>
      </w:r>
    </w:p>
    <w:p w14:paraId="35BA7A25" w14:textId="77777777" w:rsidR="00D86241" w:rsidRPr="0053235E" w:rsidRDefault="00D86241" w:rsidP="00D86241">
      <w:pPr>
        <w:numPr>
          <w:ilvl w:val="0"/>
          <w:numId w:val="11"/>
        </w:numPr>
      </w:pPr>
      <w:r w:rsidRPr="0053235E">
        <w:rPr>
          <w:rFonts w:eastAsiaTheme="majorEastAsia"/>
          <w:b/>
          <w:bCs/>
        </w:rPr>
        <w:t>Meeting Location Strategy</w:t>
      </w:r>
    </w:p>
    <w:p w14:paraId="4DEC9CC1" w14:textId="77777777" w:rsidR="00D86241" w:rsidRPr="0053235E" w:rsidRDefault="00D86241" w:rsidP="00D86241">
      <w:pPr>
        <w:numPr>
          <w:ilvl w:val="1"/>
          <w:numId w:val="11"/>
        </w:numPr>
      </w:pPr>
      <w:r>
        <w:t>Discussion regarding if f</w:t>
      </w:r>
      <w:r w:rsidRPr="0053235E">
        <w:t xml:space="preserve">uture meetings </w:t>
      </w:r>
      <w:r>
        <w:t>should</w:t>
      </w:r>
      <w:r w:rsidRPr="0053235E">
        <w:t xml:space="preserve"> alternate annually between co-location with AIM and hosting at a university.</w:t>
      </w:r>
    </w:p>
    <w:p w14:paraId="0946849D" w14:textId="77777777" w:rsidR="00D86241" w:rsidRPr="0053235E" w:rsidRDefault="00D86241" w:rsidP="00D86241">
      <w:pPr>
        <w:numPr>
          <w:ilvl w:val="0"/>
          <w:numId w:val="11"/>
        </w:numPr>
      </w:pPr>
      <w:r w:rsidRPr="0053235E">
        <w:rPr>
          <w:rFonts w:eastAsiaTheme="majorEastAsia"/>
          <w:b/>
          <w:bCs/>
        </w:rPr>
        <w:t>Research Collaboration and Documentation</w:t>
      </w:r>
    </w:p>
    <w:p w14:paraId="715A2F1C" w14:textId="77777777" w:rsidR="00D86241" w:rsidRPr="0053235E" w:rsidRDefault="00D86241" w:rsidP="00D86241">
      <w:pPr>
        <w:numPr>
          <w:ilvl w:val="1"/>
          <w:numId w:val="11"/>
        </w:numPr>
      </w:pPr>
      <w:r w:rsidRPr="0053235E">
        <w:t>Emphasis on strengthening research collaborations.</w:t>
      </w:r>
    </w:p>
    <w:p w14:paraId="2BCE283B" w14:textId="77777777" w:rsidR="00D86241" w:rsidRPr="0053235E" w:rsidRDefault="00D86241" w:rsidP="00D86241">
      <w:pPr>
        <w:numPr>
          <w:ilvl w:val="1"/>
          <w:numId w:val="11"/>
        </w:numPr>
      </w:pPr>
      <w:r w:rsidRPr="0053235E">
        <w:t>Station reports should include a dedicated section on research collaborations.</w:t>
      </w:r>
    </w:p>
    <w:p w14:paraId="1EEA17DB" w14:textId="77777777" w:rsidR="00D86241" w:rsidRPr="0053235E" w:rsidRDefault="00D86241" w:rsidP="00D86241">
      <w:pPr>
        <w:numPr>
          <w:ilvl w:val="1"/>
          <w:numId w:val="11"/>
        </w:numPr>
      </w:pPr>
      <w:r w:rsidRPr="0053235E">
        <w:t>Improved documentation is essential to support the upcoming project resubmission.</w:t>
      </w:r>
    </w:p>
    <w:p w14:paraId="15A1FDC9" w14:textId="77777777" w:rsidR="00D86241" w:rsidRPr="0053235E" w:rsidRDefault="00D86241" w:rsidP="00D86241">
      <w:pPr>
        <w:numPr>
          <w:ilvl w:val="0"/>
          <w:numId w:val="11"/>
        </w:numPr>
      </w:pPr>
      <w:r w:rsidRPr="0053235E">
        <w:rPr>
          <w:rFonts w:eastAsiaTheme="majorEastAsia"/>
          <w:b/>
          <w:bCs/>
        </w:rPr>
        <w:t>Station Reports</w:t>
      </w:r>
    </w:p>
    <w:p w14:paraId="0291B79A" w14:textId="77777777" w:rsidR="00D86241" w:rsidRPr="0053235E" w:rsidRDefault="00D86241" w:rsidP="00D86241">
      <w:pPr>
        <w:numPr>
          <w:ilvl w:val="1"/>
          <w:numId w:val="11"/>
        </w:numPr>
      </w:pPr>
      <w:r w:rsidRPr="0053235E">
        <w:t>Reports need to be more comprehensive and detailed.</w:t>
      </w:r>
    </w:p>
    <w:p w14:paraId="2B3D4F89" w14:textId="77777777" w:rsidR="00D86241" w:rsidRPr="0053235E" w:rsidRDefault="00D86241" w:rsidP="00D86241">
      <w:pPr>
        <w:numPr>
          <w:ilvl w:val="0"/>
          <w:numId w:val="11"/>
        </w:numPr>
      </w:pPr>
      <w:r w:rsidRPr="0053235E">
        <w:rPr>
          <w:rFonts w:eastAsiaTheme="majorEastAsia"/>
          <w:b/>
          <w:bCs/>
        </w:rPr>
        <w:t>Website Maintenance</w:t>
      </w:r>
    </w:p>
    <w:p w14:paraId="6A210446" w14:textId="77777777" w:rsidR="00D86241" w:rsidRPr="0053235E" w:rsidRDefault="00D86241" w:rsidP="00D86241">
      <w:pPr>
        <w:numPr>
          <w:ilvl w:val="1"/>
          <w:numId w:val="11"/>
        </w:numPr>
      </w:pPr>
      <w:r w:rsidRPr="0053235E">
        <w:t>The group’s website requires refurbishment and regular updates.</w:t>
      </w:r>
    </w:p>
    <w:p w14:paraId="0FADE98B" w14:textId="77777777" w:rsidR="00D86241" w:rsidRPr="0053235E" w:rsidRDefault="00D86241" w:rsidP="00D86241">
      <w:pPr>
        <w:numPr>
          <w:ilvl w:val="1"/>
          <w:numId w:val="11"/>
        </w:numPr>
      </w:pPr>
      <w:r w:rsidRPr="0053235E">
        <w:t>Discussion needed on who will host and maintain the site.</w:t>
      </w:r>
    </w:p>
    <w:p w14:paraId="1DE5337E" w14:textId="77777777" w:rsidR="00D86241" w:rsidRPr="0053235E" w:rsidRDefault="00D86241" w:rsidP="00D86241">
      <w:pPr>
        <w:numPr>
          <w:ilvl w:val="0"/>
          <w:numId w:val="11"/>
        </w:numPr>
      </w:pPr>
      <w:r w:rsidRPr="0053235E">
        <w:rPr>
          <w:rFonts w:eastAsiaTheme="majorEastAsia"/>
          <w:b/>
          <w:bCs/>
        </w:rPr>
        <w:t>Travel Grants</w:t>
      </w:r>
    </w:p>
    <w:p w14:paraId="7CF532E0" w14:textId="77777777" w:rsidR="00D86241" w:rsidRPr="0053235E" w:rsidRDefault="00D86241" w:rsidP="00D86241">
      <w:pPr>
        <w:numPr>
          <w:ilvl w:val="1"/>
          <w:numId w:val="11"/>
        </w:numPr>
      </w:pPr>
      <w:r w:rsidRPr="0053235E">
        <w:t>Uncertainty remains regarding the future availability of travel grant funding.</w:t>
      </w:r>
    </w:p>
    <w:p w14:paraId="52F3E61A" w14:textId="77777777" w:rsidR="00D86241" w:rsidRPr="0053235E" w:rsidRDefault="00D86241" w:rsidP="00EB066B">
      <w:pPr>
        <w:pStyle w:val="Heading3"/>
      </w:pPr>
      <w:r w:rsidRPr="0053235E">
        <w:t>New Business</w:t>
      </w:r>
    </w:p>
    <w:p w14:paraId="71CF6615" w14:textId="77777777" w:rsidR="00D86241" w:rsidRPr="0053235E" w:rsidRDefault="00D86241" w:rsidP="00D86241">
      <w:pPr>
        <w:numPr>
          <w:ilvl w:val="0"/>
          <w:numId w:val="12"/>
        </w:numPr>
      </w:pPr>
      <w:r w:rsidRPr="0053235E">
        <w:rPr>
          <w:rFonts w:eastAsiaTheme="majorEastAsia"/>
          <w:b/>
          <w:bCs/>
        </w:rPr>
        <w:t>Approval of 2024 Minutes</w:t>
      </w:r>
    </w:p>
    <w:p w14:paraId="3C8C3063" w14:textId="77777777" w:rsidR="00D86241" w:rsidRPr="0053235E" w:rsidRDefault="00D86241" w:rsidP="00D86241">
      <w:pPr>
        <w:numPr>
          <w:ilvl w:val="1"/>
          <w:numId w:val="12"/>
        </w:numPr>
      </w:pPr>
      <w:r w:rsidRPr="0053235E">
        <w:t>Motion to approve by Chris Saffron, seconded by Bishnu</w:t>
      </w:r>
      <w:r>
        <w:t xml:space="preserve"> Karki</w:t>
      </w:r>
      <w:r w:rsidRPr="0053235E">
        <w:t>.</w:t>
      </w:r>
    </w:p>
    <w:p w14:paraId="69290A13" w14:textId="77777777" w:rsidR="00D86241" w:rsidRPr="0053235E" w:rsidRDefault="00D86241" w:rsidP="00D86241">
      <w:pPr>
        <w:numPr>
          <w:ilvl w:val="1"/>
          <w:numId w:val="12"/>
        </w:numPr>
      </w:pPr>
      <w:r w:rsidRPr="0053235E">
        <w:t>Minutes approved unanimously.</w:t>
      </w:r>
    </w:p>
    <w:p w14:paraId="66745903" w14:textId="77777777" w:rsidR="00D86241" w:rsidRPr="0053235E" w:rsidRDefault="00D86241" w:rsidP="00D86241">
      <w:pPr>
        <w:numPr>
          <w:ilvl w:val="0"/>
          <w:numId w:val="12"/>
        </w:numPr>
      </w:pPr>
      <w:r w:rsidRPr="0053235E">
        <w:rPr>
          <w:rFonts w:eastAsiaTheme="majorEastAsia"/>
          <w:b/>
          <w:bCs/>
        </w:rPr>
        <w:t>Hosting the 2026 Meeting</w:t>
      </w:r>
    </w:p>
    <w:p w14:paraId="1887A754" w14:textId="77777777" w:rsidR="00D86241" w:rsidRPr="0053235E" w:rsidRDefault="00D86241" w:rsidP="00D86241">
      <w:pPr>
        <w:numPr>
          <w:ilvl w:val="1"/>
          <w:numId w:val="12"/>
        </w:numPr>
      </w:pPr>
      <w:r w:rsidRPr="0053235E">
        <w:t>Tyler Barzee will serve as chair in 2026.</w:t>
      </w:r>
    </w:p>
    <w:p w14:paraId="272AEFD3" w14:textId="77777777" w:rsidR="00D86241" w:rsidRPr="0053235E" w:rsidRDefault="00D86241" w:rsidP="00D86241">
      <w:pPr>
        <w:numPr>
          <w:ilvl w:val="1"/>
          <w:numId w:val="12"/>
        </w:numPr>
      </w:pPr>
      <w:r>
        <w:t xml:space="preserve">Reminder that </w:t>
      </w:r>
      <w:r w:rsidRPr="0053235E">
        <w:t>Toronto was ruled out due to being outside the contiguous U.S.</w:t>
      </w:r>
    </w:p>
    <w:p w14:paraId="353F2EDF" w14:textId="77777777" w:rsidR="00D86241" w:rsidRPr="0053235E" w:rsidRDefault="00D86241" w:rsidP="00D86241">
      <w:pPr>
        <w:numPr>
          <w:ilvl w:val="1"/>
          <w:numId w:val="12"/>
        </w:numPr>
      </w:pPr>
      <w:r w:rsidRPr="0053235E">
        <w:t>ASABE/AIM will be held in Indianapolis in 2026.</w:t>
      </w:r>
    </w:p>
    <w:p w14:paraId="53F5E3D9" w14:textId="77777777" w:rsidR="00D86241" w:rsidRPr="0053235E" w:rsidRDefault="00D86241" w:rsidP="00D86241">
      <w:pPr>
        <w:numPr>
          <w:ilvl w:val="1"/>
          <w:numId w:val="12"/>
        </w:numPr>
      </w:pPr>
      <w:r w:rsidRPr="0053235E">
        <w:t>Lexington, KY (University of Kentucky) is a 3-hour drive from Indianapolis and proposed as the 2026 host location.</w:t>
      </w:r>
    </w:p>
    <w:p w14:paraId="1B32D693" w14:textId="77777777" w:rsidR="00D86241" w:rsidRPr="0053235E" w:rsidRDefault="00D86241" w:rsidP="00D86241">
      <w:pPr>
        <w:numPr>
          <w:ilvl w:val="1"/>
          <w:numId w:val="12"/>
        </w:numPr>
      </w:pPr>
      <w:r w:rsidRPr="0053235E">
        <w:t>Consideration given to aligning the meeting with AIM for logistical ease, including shared transportation.</w:t>
      </w:r>
    </w:p>
    <w:p w14:paraId="085E779C" w14:textId="77777777" w:rsidR="00D86241" w:rsidRPr="0053235E" w:rsidRDefault="00D86241" w:rsidP="00D86241">
      <w:pPr>
        <w:numPr>
          <w:ilvl w:val="1"/>
          <w:numId w:val="12"/>
        </w:numPr>
      </w:pPr>
      <w:r w:rsidRPr="0053235E">
        <w:lastRenderedPageBreak/>
        <w:t>Hosting with ASABE would require covering hotel costs; separate meetings would avoid this expense.</w:t>
      </w:r>
    </w:p>
    <w:p w14:paraId="2B1F439C" w14:textId="77777777" w:rsidR="00D86241" w:rsidRPr="0053235E" w:rsidRDefault="00D86241" w:rsidP="00D86241">
      <w:pPr>
        <w:numPr>
          <w:ilvl w:val="1"/>
          <w:numId w:val="12"/>
        </w:numPr>
      </w:pPr>
      <w:r w:rsidRPr="0053235E">
        <w:t>Proposal to shift meeting days to Thursday–Friday to avoid overlap with AIM’s Sunday start.</w:t>
      </w:r>
    </w:p>
    <w:p w14:paraId="69718A64" w14:textId="77777777" w:rsidR="00D86241" w:rsidRPr="0053235E" w:rsidRDefault="00D86241" w:rsidP="00D86241">
      <w:pPr>
        <w:numPr>
          <w:ilvl w:val="1"/>
          <w:numId w:val="12"/>
        </w:numPr>
      </w:pPr>
      <w:r w:rsidRPr="0053235E">
        <w:t>Historical context: The meeting was originally designed to support networking for graduate students and early-career faculty. Funding limitations have impacted student participation.</w:t>
      </w:r>
    </w:p>
    <w:p w14:paraId="43D70C8C" w14:textId="77777777" w:rsidR="00D86241" w:rsidRPr="0053235E" w:rsidRDefault="00D86241" w:rsidP="00D86241">
      <w:pPr>
        <w:numPr>
          <w:ilvl w:val="1"/>
          <w:numId w:val="12"/>
        </w:numPr>
      </w:pPr>
      <w:r w:rsidRPr="0053235E">
        <w:t>Concerns raised about aligning with national meetings due to logistical and financial challenges.</w:t>
      </w:r>
    </w:p>
    <w:p w14:paraId="2C09381E" w14:textId="62319C46" w:rsidR="00D86241" w:rsidRPr="0053235E" w:rsidRDefault="008C4585" w:rsidP="00D86241">
      <w:pPr>
        <w:numPr>
          <w:ilvl w:val="1"/>
          <w:numId w:val="12"/>
        </w:numPr>
      </w:pPr>
      <w:r w:rsidRPr="0053235E">
        <w:t>Consensus</w:t>
      </w:r>
      <w:r w:rsidR="00D86241" w:rsidRPr="0053235E">
        <w:t xml:space="preserve"> to return to university-based hosting to better support the group’s mission.</w:t>
      </w:r>
    </w:p>
    <w:p w14:paraId="78BAA7E5" w14:textId="77777777" w:rsidR="00D86241" w:rsidRPr="0053235E" w:rsidRDefault="00D86241" w:rsidP="00D86241">
      <w:pPr>
        <w:numPr>
          <w:ilvl w:val="1"/>
          <w:numId w:val="12"/>
        </w:numPr>
      </w:pPr>
      <w:r w:rsidRPr="0053235E">
        <w:t>Tyler Barzee confirmed willingness to host at the University of Kentucky, highlighting new facilities and fermentation research.</w:t>
      </w:r>
    </w:p>
    <w:p w14:paraId="2BC7E398" w14:textId="77777777" w:rsidR="00D86241" w:rsidRPr="0053235E" w:rsidRDefault="00D86241" w:rsidP="00D86241">
      <w:pPr>
        <w:numPr>
          <w:ilvl w:val="1"/>
          <w:numId w:val="12"/>
        </w:numPr>
      </w:pPr>
      <w:r w:rsidRPr="0053235E">
        <w:t>Motion to host the 2026 meeting at the University of Kentucky passed. Meeting will be held Thursday–Friday</w:t>
      </w:r>
      <w:r>
        <w:t xml:space="preserve"> July 9-10</w:t>
      </w:r>
      <w:r w:rsidRPr="0053235E">
        <w:t>.</w:t>
      </w:r>
    </w:p>
    <w:p w14:paraId="2E730B2C" w14:textId="77777777" w:rsidR="00D86241" w:rsidRPr="0053235E" w:rsidRDefault="00D86241" w:rsidP="00D86241">
      <w:pPr>
        <w:numPr>
          <w:ilvl w:val="0"/>
          <w:numId w:val="12"/>
        </w:numPr>
      </w:pPr>
      <w:r w:rsidRPr="0053235E">
        <w:rPr>
          <w:rFonts w:eastAsiaTheme="majorEastAsia"/>
          <w:b/>
          <w:bCs/>
        </w:rPr>
        <w:t>Election of Secretary (2026)</w:t>
      </w:r>
    </w:p>
    <w:p w14:paraId="0E805F5E" w14:textId="77777777" w:rsidR="00D86241" w:rsidRPr="0053235E" w:rsidRDefault="00D86241" w:rsidP="00D86241">
      <w:pPr>
        <w:numPr>
          <w:ilvl w:val="1"/>
          <w:numId w:val="12"/>
        </w:numPr>
      </w:pPr>
      <w:r w:rsidRPr="0053235E">
        <w:t>Role includes taking meeting notes and participating in officer planning meetings.</w:t>
      </w:r>
    </w:p>
    <w:p w14:paraId="6DD75E74" w14:textId="77777777" w:rsidR="00D86241" w:rsidRPr="0053235E" w:rsidRDefault="00D86241" w:rsidP="00D86241">
      <w:pPr>
        <w:numPr>
          <w:ilvl w:val="1"/>
          <w:numId w:val="12"/>
        </w:numPr>
      </w:pPr>
      <w:r w:rsidRPr="0053235E">
        <w:t>Secretary transitions to Vice-Chair, then Chair.</w:t>
      </w:r>
    </w:p>
    <w:p w14:paraId="7A4F8904" w14:textId="77777777" w:rsidR="00D86241" w:rsidRPr="0053235E" w:rsidRDefault="00D86241" w:rsidP="00D86241">
      <w:pPr>
        <w:numPr>
          <w:ilvl w:val="1"/>
          <w:numId w:val="12"/>
        </w:numPr>
      </w:pPr>
      <w:r w:rsidRPr="0053235E">
        <w:t>Position aligns with the project rewrite timeline; no separate Hatch project required.</w:t>
      </w:r>
    </w:p>
    <w:p w14:paraId="5848487A" w14:textId="77777777" w:rsidR="00D86241" w:rsidRPr="0053235E" w:rsidRDefault="00D86241" w:rsidP="00D86241">
      <w:pPr>
        <w:numPr>
          <w:ilvl w:val="1"/>
          <w:numId w:val="12"/>
        </w:numPr>
      </w:pPr>
      <w:r w:rsidRPr="0053235E">
        <w:t xml:space="preserve">Juliana </w:t>
      </w:r>
      <w:r>
        <w:t xml:space="preserve">Vasco-Correa </w:t>
      </w:r>
      <w:r w:rsidRPr="0053235E">
        <w:t xml:space="preserve">declined nomination; Bishnu </w:t>
      </w:r>
      <w:r>
        <w:t xml:space="preserve">Karki </w:t>
      </w:r>
      <w:r w:rsidRPr="0053235E">
        <w:t>was nominated but SDSU recently hosted.</w:t>
      </w:r>
    </w:p>
    <w:p w14:paraId="68114B0E" w14:textId="77777777" w:rsidR="00D86241" w:rsidRPr="004166C4" w:rsidRDefault="00D86241" w:rsidP="00D86241">
      <w:pPr>
        <w:numPr>
          <w:ilvl w:val="1"/>
          <w:numId w:val="12"/>
        </w:numPr>
        <w:rPr>
          <w:b/>
          <w:bCs/>
          <w:i/>
          <w:iCs/>
        </w:rPr>
      </w:pPr>
      <w:r w:rsidRPr="004166C4">
        <w:rPr>
          <w:b/>
          <w:bCs/>
          <w:i/>
          <w:iCs/>
        </w:rPr>
        <w:t>Sun Ferreira, University of Arkansas, accepted nomination and was elected Secretary for 2026.</w:t>
      </w:r>
    </w:p>
    <w:p w14:paraId="1500EE9E" w14:textId="3B16A606" w:rsidR="00EB066B" w:rsidRPr="0053235E" w:rsidRDefault="00E3512E" w:rsidP="00EB066B">
      <w:pPr>
        <w:ind w:left="720"/>
      </w:pPr>
      <w:r>
        <w:rPr>
          <w:noProof/>
        </w:rPr>
        <w:pict w14:anchorId="6EEBFC8F">
          <v:rect id="_x0000_i1026" alt="" style="width:335.1pt;height:.05pt;mso-width-percent:0;mso-height-percent:0;mso-width-percent:0;mso-height-percent:0" o:hrpct="716" o:hralign="center" o:hrstd="t" o:hr="t" fillcolor="#a0a0a0" stroked="f"/>
        </w:pict>
      </w:r>
    </w:p>
    <w:p w14:paraId="2E5F5718" w14:textId="77777777" w:rsidR="001E1CEC" w:rsidRPr="001E1CEC" w:rsidRDefault="001E1CEC" w:rsidP="008C4585">
      <w:pPr>
        <w:pStyle w:val="Heading2"/>
      </w:pPr>
      <w:r w:rsidRPr="001E1CEC">
        <w:t>Breakout Session Summaries – S-1075 Annual Meeting</w:t>
      </w:r>
    </w:p>
    <w:p w14:paraId="1A9CFC54" w14:textId="44C2FC43" w:rsidR="001E1CEC" w:rsidRPr="001E1CEC" w:rsidRDefault="001E1CEC" w:rsidP="008C4585">
      <w:pPr>
        <w:pStyle w:val="Heading3"/>
      </w:pPr>
      <w:r w:rsidRPr="001E1CEC">
        <w:t xml:space="preserve">Biomaterials – </w:t>
      </w:r>
      <w:r w:rsidR="008C4585">
        <w:t>Rapporture</w:t>
      </w:r>
      <w:r w:rsidRPr="001E1CEC">
        <w:t>: Tyler Barzee</w:t>
      </w:r>
    </w:p>
    <w:p w14:paraId="1388D65E" w14:textId="77777777" w:rsidR="001E1CEC" w:rsidRPr="001E1CEC" w:rsidRDefault="001E1CEC" w:rsidP="008C4585">
      <w:pPr>
        <w:pStyle w:val="Heading4"/>
      </w:pPr>
      <w:r w:rsidRPr="008C4585">
        <w:t>Key Themes</w:t>
      </w:r>
      <w:r w:rsidRPr="001E1CEC">
        <w:t>:</w:t>
      </w:r>
    </w:p>
    <w:p w14:paraId="0394A24D" w14:textId="77777777" w:rsidR="001E1CEC" w:rsidRPr="001E1CEC" w:rsidRDefault="001E1CEC" w:rsidP="001E1CEC">
      <w:pPr>
        <w:pStyle w:val="ListBullet2"/>
        <w:numPr>
          <w:ilvl w:val="0"/>
          <w:numId w:val="13"/>
        </w:numPr>
        <w:spacing w:after="200" w:line="276" w:lineRule="auto"/>
      </w:pPr>
      <w:r w:rsidRPr="001E1CEC">
        <w:rPr>
          <w:b/>
          <w:bCs/>
        </w:rPr>
        <w:t>Funding Strategy</w:t>
      </w:r>
      <w:r w:rsidRPr="001E1CEC">
        <w:t>: Discussion on whether funding should precede concept development or vice versa.</w:t>
      </w:r>
    </w:p>
    <w:p w14:paraId="782328C1" w14:textId="77777777" w:rsidR="001E1CEC" w:rsidRPr="001E1CEC" w:rsidRDefault="001E1CEC" w:rsidP="001E1CEC">
      <w:pPr>
        <w:pStyle w:val="ListBullet2"/>
        <w:numPr>
          <w:ilvl w:val="0"/>
          <w:numId w:val="13"/>
        </w:numPr>
        <w:spacing w:after="200" w:line="276" w:lineRule="auto"/>
      </w:pPr>
      <w:r w:rsidRPr="001E1CEC">
        <w:rPr>
          <w:b/>
          <w:bCs/>
        </w:rPr>
        <w:t>Domestic Biomanufacturing</w:t>
      </w:r>
      <w:r w:rsidRPr="001E1CEC">
        <w:t>: Emphasis on strengthening U.S.-based production of biomaterials.</w:t>
      </w:r>
    </w:p>
    <w:p w14:paraId="77DF6A92" w14:textId="77777777" w:rsidR="001E1CEC" w:rsidRPr="001E1CEC" w:rsidRDefault="001E1CEC" w:rsidP="008C4585">
      <w:pPr>
        <w:pStyle w:val="Heading4"/>
      </w:pPr>
      <w:r w:rsidRPr="001E1CEC">
        <w:t>Highlighted Concepts:</w:t>
      </w:r>
    </w:p>
    <w:p w14:paraId="510869FC" w14:textId="77777777" w:rsidR="001E1CEC" w:rsidRPr="001E1CEC" w:rsidRDefault="001E1CEC" w:rsidP="001E1CEC">
      <w:pPr>
        <w:pStyle w:val="ListBullet2"/>
        <w:numPr>
          <w:ilvl w:val="0"/>
          <w:numId w:val="14"/>
        </w:numPr>
        <w:spacing w:after="200" w:line="276" w:lineRule="auto"/>
      </w:pPr>
      <w:r w:rsidRPr="001E1CEC">
        <w:rPr>
          <w:b/>
          <w:bCs/>
        </w:rPr>
        <w:t>MycoMine (Biomining with Fungi)</w:t>
      </w:r>
    </w:p>
    <w:p w14:paraId="4AD6C7A1" w14:textId="77777777" w:rsidR="001E1CEC" w:rsidRPr="001E1CEC" w:rsidRDefault="001E1CEC" w:rsidP="001E1CEC">
      <w:pPr>
        <w:pStyle w:val="ListBullet2"/>
        <w:numPr>
          <w:ilvl w:val="1"/>
          <w:numId w:val="14"/>
        </w:numPr>
        <w:spacing w:after="200" w:line="276" w:lineRule="auto"/>
      </w:pPr>
      <w:r w:rsidRPr="001E1CEC">
        <w:t>Utilizes filamentous fungi to extract critical materials from waste sources such as mine tailings and the Salton Sea.</w:t>
      </w:r>
    </w:p>
    <w:p w14:paraId="2CB55896" w14:textId="77777777" w:rsidR="001E1CEC" w:rsidRPr="001E1CEC" w:rsidRDefault="001E1CEC" w:rsidP="001E1CEC">
      <w:pPr>
        <w:pStyle w:val="ListBullet2"/>
        <w:numPr>
          <w:ilvl w:val="1"/>
          <w:numId w:val="14"/>
        </w:numPr>
        <w:spacing w:after="200" w:line="276" w:lineRule="auto"/>
      </w:pPr>
      <w:r w:rsidRPr="001E1CEC">
        <w:t>Food waste serves as a substrate.</w:t>
      </w:r>
    </w:p>
    <w:p w14:paraId="441437F3" w14:textId="77777777" w:rsidR="001E1CEC" w:rsidRPr="001E1CEC" w:rsidRDefault="001E1CEC" w:rsidP="001E1CEC">
      <w:pPr>
        <w:pStyle w:val="ListBullet2"/>
        <w:numPr>
          <w:ilvl w:val="1"/>
          <w:numId w:val="14"/>
        </w:numPr>
        <w:spacing w:after="200" w:line="276" w:lineRule="auto"/>
      </w:pPr>
      <w:r w:rsidRPr="001E1CEC">
        <w:t>Potential collaboration with the DOE’s Office of Fossil Energy and Carbon Management (FECM).</w:t>
      </w:r>
    </w:p>
    <w:p w14:paraId="56B34DBA" w14:textId="77777777" w:rsidR="001E1CEC" w:rsidRPr="001E1CEC" w:rsidRDefault="001E1CEC" w:rsidP="001E1CEC">
      <w:pPr>
        <w:pStyle w:val="ListBullet2"/>
        <w:numPr>
          <w:ilvl w:val="0"/>
          <w:numId w:val="14"/>
        </w:numPr>
        <w:spacing w:after="200" w:line="276" w:lineRule="auto"/>
      </w:pPr>
      <w:r w:rsidRPr="001E1CEC">
        <w:rPr>
          <w:b/>
          <w:bCs/>
        </w:rPr>
        <w:t>MycoRubber</w:t>
      </w:r>
    </w:p>
    <w:p w14:paraId="37B9BA5A" w14:textId="77777777" w:rsidR="001E1CEC" w:rsidRPr="001E1CEC" w:rsidRDefault="001E1CEC" w:rsidP="001E1CEC">
      <w:pPr>
        <w:pStyle w:val="ListBullet2"/>
        <w:numPr>
          <w:ilvl w:val="1"/>
          <w:numId w:val="14"/>
        </w:numPr>
        <w:spacing w:after="200" w:line="276" w:lineRule="auto"/>
      </w:pPr>
      <w:r w:rsidRPr="001E1CEC">
        <w:t>Production of rubber through microbial processes.</w:t>
      </w:r>
    </w:p>
    <w:p w14:paraId="20EA0609" w14:textId="77777777" w:rsidR="001E1CEC" w:rsidRDefault="001E1CEC" w:rsidP="001E1CEC">
      <w:pPr>
        <w:pStyle w:val="ListBullet2"/>
        <w:numPr>
          <w:ilvl w:val="1"/>
          <w:numId w:val="14"/>
        </w:numPr>
      </w:pPr>
      <w:r w:rsidRPr="001E1CEC">
        <w:lastRenderedPageBreak/>
        <w:t>Interest from USDA and Department of Defense in advancing domestic rubber biomanufacturing.</w:t>
      </w:r>
    </w:p>
    <w:p w14:paraId="5653F538" w14:textId="67E608DD" w:rsidR="001E1CEC" w:rsidRPr="001E1CEC" w:rsidRDefault="001E1CEC" w:rsidP="008C4585">
      <w:pPr>
        <w:pStyle w:val="Heading3"/>
      </w:pPr>
      <w:r w:rsidRPr="001E1CEC">
        <w:t xml:space="preserve">Food &amp; Feed – </w:t>
      </w:r>
      <w:r w:rsidR="008C4585">
        <w:t>Rapporture</w:t>
      </w:r>
      <w:r w:rsidRPr="001E1CEC">
        <w:t>: Sun Ferreira</w:t>
      </w:r>
    </w:p>
    <w:p w14:paraId="6DF34268" w14:textId="77777777" w:rsidR="001E1CEC" w:rsidRPr="001E1CEC" w:rsidRDefault="001E1CEC" w:rsidP="008C4585">
      <w:pPr>
        <w:pStyle w:val="Heading4"/>
      </w:pPr>
      <w:r w:rsidRPr="001E1CEC">
        <w:t>Key Themes:</w:t>
      </w:r>
    </w:p>
    <w:p w14:paraId="28477131" w14:textId="77777777" w:rsidR="001E1CEC" w:rsidRPr="001E1CEC" w:rsidRDefault="001E1CEC" w:rsidP="001E1CEC">
      <w:pPr>
        <w:pStyle w:val="ListBullet2"/>
        <w:numPr>
          <w:ilvl w:val="0"/>
          <w:numId w:val="15"/>
        </w:numPr>
        <w:spacing w:after="200" w:line="276" w:lineRule="auto"/>
      </w:pPr>
      <w:r w:rsidRPr="001E1CEC">
        <w:rPr>
          <w:b/>
          <w:bCs/>
        </w:rPr>
        <w:t>Biopesticides</w:t>
      </w:r>
      <w:r w:rsidRPr="001E1CEC">
        <w:t>: Integration of AI modeling to predict and optimize biopesticide development.</w:t>
      </w:r>
    </w:p>
    <w:p w14:paraId="57CE1D5F" w14:textId="77777777" w:rsidR="001E1CEC" w:rsidRPr="001E1CEC" w:rsidRDefault="001E1CEC" w:rsidP="001E1CEC">
      <w:pPr>
        <w:pStyle w:val="ListBullet2"/>
        <w:numPr>
          <w:ilvl w:val="0"/>
          <w:numId w:val="15"/>
        </w:numPr>
        <w:spacing w:after="200" w:line="276" w:lineRule="auto"/>
      </w:pPr>
      <w:r w:rsidRPr="001E1CEC">
        <w:rPr>
          <w:b/>
          <w:bCs/>
        </w:rPr>
        <w:t>Hydroponics and Omics</w:t>
      </w:r>
      <w:r w:rsidRPr="001E1CEC">
        <w:t>: Leveraging omics data to train AI models for improved agricultural outcomes.</w:t>
      </w:r>
    </w:p>
    <w:p w14:paraId="1949A4AC" w14:textId="77777777" w:rsidR="001E1CEC" w:rsidRPr="001E1CEC" w:rsidRDefault="001E1CEC" w:rsidP="008C4585">
      <w:pPr>
        <w:pStyle w:val="Heading4"/>
      </w:pPr>
      <w:r w:rsidRPr="001E1CEC">
        <w:t>Strategic Focus Areas:</w:t>
      </w:r>
    </w:p>
    <w:p w14:paraId="393F2830" w14:textId="77777777" w:rsidR="001E1CEC" w:rsidRPr="001E1CEC" w:rsidRDefault="001E1CEC" w:rsidP="001E1CEC">
      <w:pPr>
        <w:pStyle w:val="ListBullet2"/>
        <w:numPr>
          <w:ilvl w:val="0"/>
          <w:numId w:val="16"/>
        </w:numPr>
        <w:spacing w:after="200" w:line="276" w:lineRule="auto"/>
      </w:pPr>
      <w:r w:rsidRPr="001E1CEC">
        <w:rPr>
          <w:b/>
          <w:bCs/>
        </w:rPr>
        <w:t>Circular Bioeconomy</w:t>
      </w:r>
    </w:p>
    <w:p w14:paraId="46F57AC6" w14:textId="77777777" w:rsidR="001E1CEC" w:rsidRPr="001E1CEC" w:rsidRDefault="001E1CEC" w:rsidP="001E1CEC">
      <w:pPr>
        <w:pStyle w:val="ListBullet2"/>
        <w:numPr>
          <w:ilvl w:val="1"/>
          <w:numId w:val="16"/>
        </w:numPr>
        <w:spacing w:after="200" w:line="276" w:lineRule="auto"/>
      </w:pPr>
      <w:r w:rsidRPr="001E1CEC">
        <w:t>Encompasses current and future food/feed systems.</w:t>
      </w:r>
    </w:p>
    <w:p w14:paraId="5273E6C1" w14:textId="77777777" w:rsidR="001E1CEC" w:rsidRPr="001E1CEC" w:rsidRDefault="001E1CEC" w:rsidP="001E1CEC">
      <w:pPr>
        <w:pStyle w:val="ListBullet2"/>
        <w:numPr>
          <w:ilvl w:val="1"/>
          <w:numId w:val="16"/>
        </w:numPr>
        <w:spacing w:after="200" w:line="276" w:lineRule="auto"/>
      </w:pPr>
      <w:r w:rsidRPr="001E1CEC">
        <w:t>Emphasis on utilization, workforce training, and sustainability.</w:t>
      </w:r>
    </w:p>
    <w:p w14:paraId="43685860" w14:textId="77777777" w:rsidR="001E1CEC" w:rsidRPr="001E1CEC" w:rsidRDefault="001E1CEC" w:rsidP="001E1CEC">
      <w:pPr>
        <w:pStyle w:val="ListBullet2"/>
        <w:numPr>
          <w:ilvl w:val="0"/>
          <w:numId w:val="16"/>
        </w:numPr>
        <w:spacing w:after="200" w:line="276" w:lineRule="auto"/>
      </w:pPr>
      <w:r w:rsidRPr="001E1CEC">
        <w:rPr>
          <w:b/>
          <w:bCs/>
        </w:rPr>
        <w:t>DDGS (Dried Distillers Grains with Solubles)</w:t>
      </w:r>
    </w:p>
    <w:p w14:paraId="151321AF" w14:textId="77777777" w:rsidR="001E1CEC" w:rsidRPr="001E1CEC" w:rsidRDefault="001E1CEC" w:rsidP="001E1CEC">
      <w:pPr>
        <w:pStyle w:val="ListBullet2"/>
        <w:numPr>
          <w:ilvl w:val="1"/>
          <w:numId w:val="16"/>
        </w:numPr>
        <w:spacing w:after="200" w:line="276" w:lineRule="auto"/>
      </w:pPr>
      <w:r w:rsidRPr="001E1CEC">
        <w:t>Renewed interest in fermentation-based utilization.</w:t>
      </w:r>
    </w:p>
    <w:p w14:paraId="1A000301" w14:textId="77777777" w:rsidR="001E1CEC" w:rsidRPr="001E1CEC" w:rsidRDefault="001E1CEC" w:rsidP="001E1CEC">
      <w:pPr>
        <w:pStyle w:val="ListBullet2"/>
        <w:numPr>
          <w:ilvl w:val="1"/>
          <w:numId w:val="16"/>
        </w:numPr>
        <w:spacing w:after="200" w:line="276" w:lineRule="auto"/>
      </w:pPr>
      <w:r w:rsidRPr="001E1CEC">
        <w:t>Applications considered for both terrestrial and extraterrestrial environments.</w:t>
      </w:r>
    </w:p>
    <w:p w14:paraId="0D7FFB55" w14:textId="77777777" w:rsidR="001E1CEC" w:rsidRPr="001E1CEC" w:rsidRDefault="001E1CEC" w:rsidP="001E1CEC">
      <w:pPr>
        <w:pStyle w:val="ListBullet2"/>
        <w:numPr>
          <w:ilvl w:val="0"/>
          <w:numId w:val="16"/>
        </w:numPr>
        <w:spacing w:after="200" w:line="276" w:lineRule="auto"/>
      </w:pPr>
      <w:r w:rsidRPr="001E1CEC">
        <w:rPr>
          <w:b/>
          <w:bCs/>
        </w:rPr>
        <w:t>Data Infrastructure</w:t>
      </w:r>
    </w:p>
    <w:p w14:paraId="01D9A7AD" w14:textId="77777777" w:rsidR="001E1CEC" w:rsidRPr="001E1CEC" w:rsidRDefault="001E1CEC" w:rsidP="001E1CEC">
      <w:pPr>
        <w:pStyle w:val="ListBullet2"/>
        <w:numPr>
          <w:ilvl w:val="1"/>
          <w:numId w:val="16"/>
        </w:numPr>
        <w:spacing w:after="200" w:line="276" w:lineRule="auto"/>
      </w:pPr>
      <w:r w:rsidRPr="001E1CEC">
        <w:t>Need for publicly accessible databases to support AI modeling.</w:t>
      </w:r>
    </w:p>
    <w:p w14:paraId="16024961" w14:textId="77777777" w:rsidR="001E1CEC" w:rsidRPr="001E1CEC" w:rsidRDefault="001E1CEC" w:rsidP="001E1CEC">
      <w:pPr>
        <w:pStyle w:val="ListBullet2"/>
        <w:numPr>
          <w:ilvl w:val="1"/>
          <w:numId w:val="16"/>
        </w:numPr>
        <w:spacing w:after="200" w:line="276" w:lineRule="auto"/>
      </w:pPr>
      <w:r w:rsidRPr="001E1CEC">
        <w:t>Importance of diversified funding sources beyond government grants.</w:t>
      </w:r>
    </w:p>
    <w:p w14:paraId="70C5C430" w14:textId="77777777" w:rsidR="001E1CEC" w:rsidRPr="001E1CEC" w:rsidRDefault="001E1CEC" w:rsidP="001E1CEC">
      <w:pPr>
        <w:pStyle w:val="ListBullet2"/>
        <w:numPr>
          <w:ilvl w:val="1"/>
          <w:numId w:val="16"/>
        </w:numPr>
        <w:spacing w:after="200" w:line="276" w:lineRule="auto"/>
      </w:pPr>
      <w:r w:rsidRPr="001E1CEC">
        <w:t>Proposal for industry certifications and educational programs to build a skilled workforce.</w:t>
      </w:r>
    </w:p>
    <w:p w14:paraId="6E044DE3" w14:textId="77777777" w:rsidR="001E1CEC" w:rsidRPr="001E1CEC" w:rsidRDefault="001E1CEC" w:rsidP="001E1CEC">
      <w:pPr>
        <w:pStyle w:val="ListBullet2"/>
        <w:numPr>
          <w:ilvl w:val="0"/>
          <w:numId w:val="16"/>
        </w:numPr>
        <w:spacing w:after="200" w:line="276" w:lineRule="auto"/>
      </w:pPr>
      <w:r w:rsidRPr="001E1CEC">
        <w:rPr>
          <w:b/>
          <w:bCs/>
        </w:rPr>
        <w:t>Packaging Innovations</w:t>
      </w:r>
    </w:p>
    <w:p w14:paraId="362CDF3F" w14:textId="77777777" w:rsidR="001E1CEC" w:rsidRPr="001E1CEC" w:rsidRDefault="001E1CEC" w:rsidP="001E1CEC">
      <w:pPr>
        <w:pStyle w:val="ListBullet2"/>
        <w:numPr>
          <w:ilvl w:val="1"/>
          <w:numId w:val="16"/>
        </w:numPr>
        <w:spacing w:after="200" w:line="276" w:lineRule="auto"/>
      </w:pPr>
      <w:r w:rsidRPr="001E1CEC">
        <w:t>Exploration of bioplastics and smart packaging solutions aligned with circular economy principles.</w:t>
      </w:r>
    </w:p>
    <w:p w14:paraId="727D4F5F" w14:textId="75516348" w:rsidR="001E1CEC" w:rsidRPr="001E1CEC" w:rsidRDefault="001E1CEC" w:rsidP="001E1CEC">
      <w:pPr>
        <w:pStyle w:val="ListBullet2"/>
        <w:numPr>
          <w:ilvl w:val="0"/>
          <w:numId w:val="0"/>
        </w:numPr>
        <w:spacing w:after="200" w:line="276" w:lineRule="auto"/>
        <w:ind w:left="720"/>
      </w:pPr>
    </w:p>
    <w:p w14:paraId="4C5AE766" w14:textId="52851E82" w:rsidR="001E1CEC" w:rsidRPr="001E1CEC" w:rsidRDefault="001E1CEC" w:rsidP="008C4585">
      <w:pPr>
        <w:pStyle w:val="Heading3"/>
      </w:pPr>
      <w:r w:rsidRPr="001E1CEC">
        <w:t xml:space="preserve">Fuel – </w:t>
      </w:r>
      <w:r w:rsidR="008C4585">
        <w:t>Rapporture</w:t>
      </w:r>
      <w:r w:rsidRPr="001E1CEC">
        <w:t xml:space="preserve">: </w:t>
      </w:r>
      <w:r w:rsidR="008C4585">
        <w:t>NDSU Graduate Student</w:t>
      </w:r>
      <w:r w:rsidR="005460DB">
        <w:t>: Mohammed Haris</w:t>
      </w:r>
    </w:p>
    <w:p w14:paraId="566BFF82" w14:textId="77777777" w:rsidR="001E1CEC" w:rsidRPr="001E1CEC" w:rsidRDefault="001E1CEC" w:rsidP="008C4585">
      <w:pPr>
        <w:pStyle w:val="Heading4"/>
      </w:pPr>
      <w:r w:rsidRPr="001E1CEC">
        <w:t>Key Themes:</w:t>
      </w:r>
    </w:p>
    <w:p w14:paraId="0835F4B3" w14:textId="77777777" w:rsidR="001E1CEC" w:rsidRPr="001E1CEC" w:rsidRDefault="001E1CEC" w:rsidP="001E1CEC">
      <w:pPr>
        <w:pStyle w:val="ListBullet2"/>
        <w:numPr>
          <w:ilvl w:val="0"/>
          <w:numId w:val="17"/>
        </w:numPr>
        <w:spacing w:after="200" w:line="276" w:lineRule="auto"/>
      </w:pPr>
      <w:r w:rsidRPr="001E1CEC">
        <w:rPr>
          <w:b/>
          <w:bCs/>
        </w:rPr>
        <w:t>Net-Zero and Carbon-Negative Goals</w:t>
      </w:r>
    </w:p>
    <w:p w14:paraId="18F91BAC" w14:textId="77777777" w:rsidR="001E1CEC" w:rsidRPr="001E1CEC" w:rsidRDefault="001E1CEC" w:rsidP="001E1CEC">
      <w:pPr>
        <w:pStyle w:val="ListBullet2"/>
        <w:numPr>
          <w:ilvl w:val="1"/>
          <w:numId w:val="17"/>
        </w:numPr>
        <w:spacing w:after="200" w:line="276" w:lineRule="auto"/>
      </w:pPr>
      <w:r w:rsidRPr="001E1CEC">
        <w:t>Discussion on current policies and the need for metrics to evaluate new fuels.</w:t>
      </w:r>
    </w:p>
    <w:p w14:paraId="27A74225" w14:textId="77777777" w:rsidR="001E1CEC" w:rsidRPr="001E1CEC" w:rsidRDefault="001E1CEC" w:rsidP="001E1CEC">
      <w:pPr>
        <w:pStyle w:val="ListBullet2"/>
        <w:numPr>
          <w:ilvl w:val="1"/>
          <w:numId w:val="17"/>
        </w:numPr>
        <w:spacing w:after="200" w:line="276" w:lineRule="auto"/>
      </w:pPr>
      <w:r w:rsidRPr="001E1CEC">
        <w:t>Emphasis on understanding engine compatibility and environmental impact.</w:t>
      </w:r>
    </w:p>
    <w:p w14:paraId="56A142CE" w14:textId="77777777" w:rsidR="001E1CEC" w:rsidRPr="001E1CEC" w:rsidRDefault="001E1CEC" w:rsidP="008C4585">
      <w:pPr>
        <w:pStyle w:val="Heading4"/>
      </w:pPr>
      <w:r w:rsidRPr="001E1CEC">
        <w:t>Strategic Actions:</w:t>
      </w:r>
    </w:p>
    <w:p w14:paraId="038CCFFA" w14:textId="77777777" w:rsidR="001E1CEC" w:rsidRPr="001E1CEC" w:rsidRDefault="001E1CEC" w:rsidP="001E1CEC">
      <w:pPr>
        <w:pStyle w:val="ListBullet2"/>
        <w:numPr>
          <w:ilvl w:val="0"/>
          <w:numId w:val="18"/>
        </w:numPr>
        <w:spacing w:after="200" w:line="276" w:lineRule="auto"/>
      </w:pPr>
      <w:r w:rsidRPr="001E1CEC">
        <w:rPr>
          <w:b/>
          <w:bCs/>
        </w:rPr>
        <w:t>Research Communication</w:t>
      </w:r>
    </w:p>
    <w:p w14:paraId="4C1355F4" w14:textId="77777777" w:rsidR="001E1CEC" w:rsidRPr="001E1CEC" w:rsidRDefault="001E1CEC" w:rsidP="001E1CEC">
      <w:pPr>
        <w:pStyle w:val="ListBullet2"/>
        <w:numPr>
          <w:ilvl w:val="1"/>
          <w:numId w:val="18"/>
        </w:numPr>
        <w:spacing w:after="200" w:line="276" w:lineRule="auto"/>
      </w:pPr>
      <w:r w:rsidRPr="001E1CEC">
        <w:t>Proposal to publish findings to inform policy and industry.</w:t>
      </w:r>
    </w:p>
    <w:p w14:paraId="1CD54AF5" w14:textId="77777777" w:rsidR="001E1CEC" w:rsidRPr="001E1CEC" w:rsidRDefault="001E1CEC" w:rsidP="001E1CEC">
      <w:pPr>
        <w:pStyle w:val="ListBullet2"/>
        <w:numPr>
          <w:ilvl w:val="1"/>
          <w:numId w:val="18"/>
        </w:numPr>
        <w:spacing w:after="200" w:line="276" w:lineRule="auto"/>
      </w:pPr>
      <w:r w:rsidRPr="001E1CEC">
        <w:t>Focus on impactful communication strategies.</w:t>
      </w:r>
    </w:p>
    <w:p w14:paraId="3DA96043" w14:textId="77777777" w:rsidR="001E1CEC" w:rsidRPr="001E1CEC" w:rsidRDefault="001E1CEC" w:rsidP="001E1CEC">
      <w:pPr>
        <w:pStyle w:val="ListBullet2"/>
        <w:numPr>
          <w:ilvl w:val="0"/>
          <w:numId w:val="18"/>
        </w:numPr>
        <w:spacing w:after="200" w:line="276" w:lineRule="auto"/>
      </w:pPr>
      <w:r w:rsidRPr="001E1CEC">
        <w:rPr>
          <w:b/>
          <w:bCs/>
        </w:rPr>
        <w:t>Student Engagement</w:t>
      </w:r>
    </w:p>
    <w:p w14:paraId="25DEBA37" w14:textId="77777777" w:rsidR="001E1CEC" w:rsidRPr="001E1CEC" w:rsidRDefault="001E1CEC" w:rsidP="001E1CEC">
      <w:pPr>
        <w:pStyle w:val="ListBullet2"/>
        <w:numPr>
          <w:ilvl w:val="1"/>
          <w:numId w:val="18"/>
        </w:numPr>
        <w:spacing w:after="200" w:line="276" w:lineRule="auto"/>
      </w:pPr>
      <w:r w:rsidRPr="001E1CEC">
        <w:lastRenderedPageBreak/>
        <w:t>Strengthening connections between students, researchers, and industry.</w:t>
      </w:r>
    </w:p>
    <w:p w14:paraId="6C9A9B95" w14:textId="77777777" w:rsidR="001E1CEC" w:rsidRPr="001E1CEC" w:rsidRDefault="001E1CEC" w:rsidP="001E1CEC">
      <w:pPr>
        <w:pStyle w:val="ListBullet2"/>
        <w:numPr>
          <w:ilvl w:val="1"/>
          <w:numId w:val="18"/>
        </w:numPr>
        <w:spacing w:after="200" w:line="276" w:lineRule="auto"/>
      </w:pPr>
      <w:r w:rsidRPr="001E1CEC">
        <w:t>Mentorship and institutional knowledge retention.</w:t>
      </w:r>
    </w:p>
    <w:p w14:paraId="024F8789" w14:textId="77777777" w:rsidR="001E1CEC" w:rsidRPr="001E1CEC" w:rsidRDefault="001E1CEC" w:rsidP="001E1CEC">
      <w:pPr>
        <w:pStyle w:val="ListBullet2"/>
        <w:numPr>
          <w:ilvl w:val="1"/>
          <w:numId w:val="18"/>
        </w:numPr>
        <w:spacing w:after="200" w:line="276" w:lineRule="auto"/>
      </w:pPr>
      <w:r w:rsidRPr="001E1CEC">
        <w:t>Consideration of DOE funding proposals to support student involvement.</w:t>
      </w:r>
    </w:p>
    <w:p w14:paraId="400F5588" w14:textId="77777777" w:rsidR="001E1CEC" w:rsidRPr="001E1CEC" w:rsidRDefault="001E1CEC" w:rsidP="001E1CEC">
      <w:pPr>
        <w:pStyle w:val="ListBullet2"/>
        <w:numPr>
          <w:ilvl w:val="0"/>
          <w:numId w:val="18"/>
        </w:numPr>
        <w:spacing w:after="200" w:line="276" w:lineRule="auto"/>
      </w:pPr>
      <w:r w:rsidRPr="001E1CEC">
        <w:rPr>
          <w:b/>
          <w:bCs/>
        </w:rPr>
        <w:t>Systemic Impact</w:t>
      </w:r>
    </w:p>
    <w:p w14:paraId="2751162E" w14:textId="77777777" w:rsidR="001E1CEC" w:rsidRPr="001E1CEC" w:rsidRDefault="001E1CEC" w:rsidP="001E1CEC">
      <w:pPr>
        <w:pStyle w:val="ListBullet2"/>
        <w:numPr>
          <w:ilvl w:val="1"/>
          <w:numId w:val="18"/>
        </w:numPr>
        <w:spacing w:after="200" w:line="276" w:lineRule="auto"/>
      </w:pPr>
      <w:r w:rsidRPr="001E1CEC">
        <w:t>Encouragement to think beyond isolated efforts—aim to create a cohesive, large-scale impact rather than fragmented contributions.</w:t>
      </w:r>
    </w:p>
    <w:p w14:paraId="6E0A4C06" w14:textId="77777777" w:rsidR="00A8129E" w:rsidRDefault="00A8129E" w:rsidP="00D86241">
      <w:pPr>
        <w:pStyle w:val="ListBullet2"/>
        <w:numPr>
          <w:ilvl w:val="0"/>
          <w:numId w:val="0"/>
        </w:numPr>
        <w:rPr>
          <w:color w:val="000000" w:themeColor="text1"/>
        </w:rPr>
      </w:pPr>
    </w:p>
    <w:p w14:paraId="67D6783B" w14:textId="1A8C6DC4" w:rsidR="001E1CEC" w:rsidRDefault="00B83BF7" w:rsidP="00D86241">
      <w:pPr>
        <w:pStyle w:val="ListBullet2"/>
        <w:numPr>
          <w:ilvl w:val="0"/>
          <w:numId w:val="0"/>
        </w:numPr>
        <w:rPr>
          <w:color w:val="000000" w:themeColor="text1"/>
        </w:rPr>
      </w:pPr>
      <w:r>
        <w:rPr>
          <w:color w:val="000000" w:themeColor="text1"/>
        </w:rPr>
        <w:t>The fol</w:t>
      </w:r>
      <w:r w:rsidR="00A8129E">
        <w:rPr>
          <w:color w:val="000000" w:themeColor="text1"/>
        </w:rPr>
        <w:t>lowing 5 students were selected</w:t>
      </w:r>
      <w:r w:rsidR="00D71398">
        <w:rPr>
          <w:color w:val="000000" w:themeColor="text1"/>
        </w:rPr>
        <w:t xml:space="preserve"> </w:t>
      </w:r>
      <w:r w:rsidR="00254691">
        <w:rPr>
          <w:color w:val="000000" w:themeColor="text1"/>
        </w:rPr>
        <w:t>for their best</w:t>
      </w:r>
      <w:r w:rsidR="008A7F62">
        <w:rPr>
          <w:color w:val="000000" w:themeColor="text1"/>
        </w:rPr>
        <w:t xml:space="preserve"> poster presentations</w:t>
      </w:r>
      <w:r w:rsidR="00CC199F">
        <w:rPr>
          <w:color w:val="000000" w:themeColor="text1"/>
        </w:rPr>
        <w:t xml:space="preserve"> and were handed a gift card of $100 each:</w:t>
      </w:r>
    </w:p>
    <w:p w14:paraId="45945BC1" w14:textId="59BA4A0D" w:rsidR="003A3439" w:rsidRDefault="00DE6ECE" w:rsidP="003A3439">
      <w:pPr>
        <w:pStyle w:val="ListBullet2"/>
        <w:numPr>
          <w:ilvl w:val="0"/>
          <w:numId w:val="22"/>
        </w:numPr>
        <w:rPr>
          <w:color w:val="000000" w:themeColor="text1"/>
        </w:rPr>
      </w:pPr>
      <w:r>
        <w:rPr>
          <w:color w:val="000000" w:themeColor="text1"/>
        </w:rPr>
        <w:t>Santosh Tha</w:t>
      </w:r>
      <w:r w:rsidR="00CC199F">
        <w:rPr>
          <w:color w:val="000000" w:themeColor="text1"/>
        </w:rPr>
        <w:t>pa</w:t>
      </w:r>
    </w:p>
    <w:p w14:paraId="5822E8C5" w14:textId="67AE6477" w:rsidR="004645F9" w:rsidRDefault="004645F9" w:rsidP="003A3439">
      <w:pPr>
        <w:pStyle w:val="ListBullet2"/>
        <w:numPr>
          <w:ilvl w:val="0"/>
          <w:numId w:val="22"/>
        </w:numPr>
        <w:rPr>
          <w:color w:val="000000" w:themeColor="text1"/>
        </w:rPr>
      </w:pPr>
      <w:r>
        <w:rPr>
          <w:color w:val="000000" w:themeColor="text1"/>
        </w:rPr>
        <w:t>Olumide Olu</w:t>
      </w:r>
      <w:r w:rsidR="00E3512E">
        <w:rPr>
          <w:color w:val="000000" w:themeColor="text1"/>
        </w:rPr>
        <w:t>biyo</w:t>
      </w:r>
    </w:p>
    <w:p w14:paraId="4BFD2104" w14:textId="3BC4856F" w:rsidR="00E3512E" w:rsidRDefault="00E3512E" w:rsidP="003A3439">
      <w:pPr>
        <w:pStyle w:val="ListBullet2"/>
        <w:numPr>
          <w:ilvl w:val="0"/>
          <w:numId w:val="22"/>
        </w:numPr>
        <w:rPr>
          <w:color w:val="000000" w:themeColor="text1"/>
        </w:rPr>
      </w:pPr>
      <w:r>
        <w:rPr>
          <w:color w:val="000000" w:themeColor="text1"/>
        </w:rPr>
        <w:t>Nirat Katuwai</w:t>
      </w:r>
    </w:p>
    <w:p w14:paraId="12F97E15" w14:textId="310D1FD5" w:rsidR="00E3512E" w:rsidRDefault="00E3512E" w:rsidP="003A3439">
      <w:pPr>
        <w:pStyle w:val="ListBullet2"/>
        <w:numPr>
          <w:ilvl w:val="0"/>
          <w:numId w:val="22"/>
        </w:numPr>
        <w:rPr>
          <w:color w:val="000000" w:themeColor="text1"/>
        </w:rPr>
      </w:pPr>
      <w:r>
        <w:rPr>
          <w:color w:val="000000" w:themeColor="text1"/>
        </w:rPr>
        <w:t>Humeera Tazeen</w:t>
      </w:r>
    </w:p>
    <w:p w14:paraId="73E3E839" w14:textId="7E77B752" w:rsidR="00E3512E" w:rsidRDefault="00E3512E" w:rsidP="003A3439">
      <w:pPr>
        <w:pStyle w:val="ListBullet2"/>
        <w:numPr>
          <w:ilvl w:val="0"/>
          <w:numId w:val="22"/>
        </w:numPr>
        <w:rPr>
          <w:color w:val="000000" w:themeColor="text1"/>
        </w:rPr>
      </w:pPr>
      <w:r>
        <w:rPr>
          <w:color w:val="000000" w:themeColor="text1"/>
        </w:rPr>
        <w:t>Keya Roy</w:t>
      </w:r>
    </w:p>
    <w:p w14:paraId="3107480E" w14:textId="77777777" w:rsidR="008C4585" w:rsidRDefault="008C4585" w:rsidP="00D86241">
      <w:pPr>
        <w:pStyle w:val="ListBullet2"/>
        <w:numPr>
          <w:ilvl w:val="0"/>
          <w:numId w:val="0"/>
        </w:numPr>
        <w:rPr>
          <w:color w:val="000000" w:themeColor="text1"/>
        </w:rPr>
      </w:pPr>
    </w:p>
    <w:p w14:paraId="3E1C2B43" w14:textId="2F3F1DCC" w:rsidR="008C4585" w:rsidRDefault="008C4585" w:rsidP="00D86241">
      <w:pPr>
        <w:pStyle w:val="ListBullet2"/>
        <w:numPr>
          <w:ilvl w:val="0"/>
          <w:numId w:val="0"/>
        </w:numPr>
        <w:rPr>
          <w:color w:val="000000" w:themeColor="text1"/>
        </w:rPr>
      </w:pPr>
      <w:r>
        <w:rPr>
          <w:color w:val="000000" w:themeColor="text1"/>
        </w:rPr>
        <w:t>Notes recorded and summarized by:</w:t>
      </w:r>
    </w:p>
    <w:p w14:paraId="7CF9C792" w14:textId="49757CBC" w:rsidR="008C4585" w:rsidRPr="008C4585" w:rsidRDefault="008C4585" w:rsidP="008C4585">
      <w:pPr>
        <w:pStyle w:val="ListBullet2"/>
        <w:numPr>
          <w:ilvl w:val="0"/>
          <w:numId w:val="0"/>
        </w:numPr>
        <w:ind w:left="360"/>
        <w:rPr>
          <w:color w:val="000000" w:themeColor="text1"/>
        </w:rPr>
      </w:pPr>
      <w:r w:rsidRPr="008C4585">
        <w:rPr>
          <w:color w:val="000000" w:themeColor="text1"/>
        </w:rPr>
        <w:t>Abigail Engelberth, PhD</w:t>
      </w:r>
      <w:r>
        <w:rPr>
          <w:color w:val="000000" w:themeColor="text1"/>
        </w:rPr>
        <w:t xml:space="preserve"> · </w:t>
      </w:r>
      <w:r w:rsidRPr="008C4585">
        <w:rPr>
          <w:color w:val="000000" w:themeColor="text1"/>
        </w:rPr>
        <w:t>Associate Professor, Purdue University</w:t>
      </w:r>
    </w:p>
    <w:p w14:paraId="02A7C957" w14:textId="3FE9D92A" w:rsidR="008C4585" w:rsidRPr="008C4585" w:rsidRDefault="00E3512E" w:rsidP="008C4585">
      <w:pPr>
        <w:pStyle w:val="ListBullet2"/>
        <w:numPr>
          <w:ilvl w:val="0"/>
          <w:numId w:val="0"/>
        </w:numPr>
        <w:ind w:left="360"/>
        <w:rPr>
          <w:color w:val="000000" w:themeColor="text1"/>
        </w:rPr>
      </w:pPr>
      <w:hyperlink r:id="rId15" w:history="1">
        <w:r w:rsidR="008C4585" w:rsidRPr="00382CE6">
          <w:rPr>
            <w:rStyle w:val="Hyperlink"/>
          </w:rPr>
          <w:t>aengelbe@purdue.edu</w:t>
        </w:r>
      </w:hyperlink>
      <w:r w:rsidR="008C4585">
        <w:rPr>
          <w:color w:val="000000" w:themeColor="text1"/>
        </w:rPr>
        <w:t xml:space="preserve"> · </w:t>
      </w:r>
      <w:hyperlink r:id="rId16" w:history="1">
        <w:r w:rsidR="008C4585" w:rsidRPr="00382CE6">
          <w:rPr>
            <w:rStyle w:val="Hyperlink"/>
          </w:rPr>
          <w:t>https://engineering.purdue.edu/ERG</w:t>
        </w:r>
      </w:hyperlink>
      <w:r w:rsidR="008C4585">
        <w:rPr>
          <w:color w:val="000000" w:themeColor="text1"/>
        </w:rPr>
        <w:t xml:space="preserve"> </w:t>
      </w:r>
    </w:p>
    <w:p w14:paraId="3AF337F3" w14:textId="49C06B1D" w:rsidR="008C4585" w:rsidRPr="00D86241" w:rsidRDefault="008C4585" w:rsidP="00D86241">
      <w:pPr>
        <w:pStyle w:val="ListBullet2"/>
        <w:numPr>
          <w:ilvl w:val="0"/>
          <w:numId w:val="0"/>
        </w:numPr>
        <w:rPr>
          <w:color w:val="000000" w:themeColor="text1"/>
        </w:rPr>
      </w:pPr>
    </w:p>
    <w:sectPr w:rsidR="008C4585" w:rsidRPr="00D86241" w:rsidSect="00034616">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AC100" w14:textId="77777777" w:rsidR="005376C3" w:rsidRDefault="005376C3" w:rsidP="008C4585">
      <w:r>
        <w:separator/>
      </w:r>
    </w:p>
  </w:endnote>
  <w:endnote w:type="continuationSeparator" w:id="0">
    <w:p w14:paraId="7AAC7414" w14:textId="77777777" w:rsidR="005376C3" w:rsidRDefault="005376C3" w:rsidP="008C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6099164"/>
      <w:docPartObj>
        <w:docPartGallery w:val="Page Numbers (Bottom of Page)"/>
        <w:docPartUnique/>
      </w:docPartObj>
    </w:sdtPr>
    <w:sdtEndPr>
      <w:rPr>
        <w:rStyle w:val="PageNumber"/>
      </w:rPr>
    </w:sdtEndPr>
    <w:sdtContent>
      <w:p w14:paraId="48AE5F2F" w14:textId="136FCC21" w:rsidR="008C4585" w:rsidRDefault="008C4585" w:rsidP="00382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DC762C" w14:textId="77777777" w:rsidR="008C4585" w:rsidRDefault="008C4585" w:rsidP="008C45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5616284"/>
      <w:docPartObj>
        <w:docPartGallery w:val="Page Numbers (Bottom of Page)"/>
        <w:docPartUnique/>
      </w:docPartObj>
    </w:sdtPr>
    <w:sdtEndPr>
      <w:rPr>
        <w:rStyle w:val="PageNumber"/>
      </w:rPr>
    </w:sdtEndPr>
    <w:sdtContent>
      <w:p w14:paraId="62CAF5D7" w14:textId="4F6A7316" w:rsidR="008C4585" w:rsidRDefault="008C4585" w:rsidP="00382CE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DAF227E" w14:textId="7046B82A" w:rsidR="008C4585" w:rsidRDefault="008C4585" w:rsidP="008C4585">
    <w:pPr>
      <w:pStyle w:val="Footer"/>
      <w:ind w:right="360"/>
    </w:pPr>
    <w:r>
      <w:t>S-1075 Meeting Minutes</w:t>
    </w:r>
    <w:r>
      <w:tab/>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01E03" w14:textId="77777777" w:rsidR="005376C3" w:rsidRDefault="005376C3" w:rsidP="008C4585">
      <w:r>
        <w:separator/>
      </w:r>
    </w:p>
  </w:footnote>
  <w:footnote w:type="continuationSeparator" w:id="0">
    <w:p w14:paraId="1712C338" w14:textId="77777777" w:rsidR="005376C3" w:rsidRDefault="005376C3" w:rsidP="008C4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E30685"/>
    <w:multiLevelType w:val="multilevel"/>
    <w:tmpl w:val="BDA8495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13CC3165"/>
    <w:multiLevelType w:val="multilevel"/>
    <w:tmpl w:val="360E32B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7A009F4"/>
    <w:multiLevelType w:val="multilevel"/>
    <w:tmpl w:val="EA1003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2CB00926"/>
    <w:multiLevelType w:val="multilevel"/>
    <w:tmpl w:val="38BE22EE"/>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4965591D"/>
    <w:multiLevelType w:val="multilevel"/>
    <w:tmpl w:val="F47A8A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EF1175"/>
    <w:multiLevelType w:val="hybridMultilevel"/>
    <w:tmpl w:val="714AB36A"/>
    <w:lvl w:ilvl="0" w:tplc="E0B880AA">
      <w:start w:val="1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B1960"/>
    <w:multiLevelType w:val="multilevel"/>
    <w:tmpl w:val="3FD4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86750"/>
    <w:multiLevelType w:val="multilevel"/>
    <w:tmpl w:val="5184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63B39"/>
    <w:multiLevelType w:val="multilevel"/>
    <w:tmpl w:val="756C2568"/>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61A41F21"/>
    <w:multiLevelType w:val="multilevel"/>
    <w:tmpl w:val="F560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BC6FA4"/>
    <w:multiLevelType w:val="multilevel"/>
    <w:tmpl w:val="58AC5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485369"/>
    <w:multiLevelType w:val="multilevel"/>
    <w:tmpl w:val="7856DB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AF72C9"/>
    <w:multiLevelType w:val="multilevel"/>
    <w:tmpl w:val="B652F56A"/>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8"/>
  </w:num>
  <w:num w:numId="11">
    <w:abstractNumId w:val="20"/>
  </w:num>
  <w:num w:numId="12">
    <w:abstractNumId w:val="13"/>
  </w:num>
  <w:num w:numId="13">
    <w:abstractNumId w:val="10"/>
  </w:num>
  <w:num w:numId="14">
    <w:abstractNumId w:val="21"/>
  </w:num>
  <w:num w:numId="15">
    <w:abstractNumId w:val="11"/>
  </w:num>
  <w:num w:numId="16">
    <w:abstractNumId w:val="17"/>
  </w:num>
  <w:num w:numId="17">
    <w:abstractNumId w:val="9"/>
  </w:num>
  <w:num w:numId="18">
    <w:abstractNumId w:val="12"/>
  </w:num>
  <w:num w:numId="19">
    <w:abstractNumId w:val="19"/>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09EC"/>
    <w:rsid w:val="0015074B"/>
    <w:rsid w:val="00183558"/>
    <w:rsid w:val="001E1CEC"/>
    <w:rsid w:val="00254691"/>
    <w:rsid w:val="0029639D"/>
    <w:rsid w:val="00326F90"/>
    <w:rsid w:val="003A3439"/>
    <w:rsid w:val="004166C4"/>
    <w:rsid w:val="004645F9"/>
    <w:rsid w:val="005376C3"/>
    <w:rsid w:val="005460DB"/>
    <w:rsid w:val="0079521F"/>
    <w:rsid w:val="008A7F62"/>
    <w:rsid w:val="008C4585"/>
    <w:rsid w:val="009B539A"/>
    <w:rsid w:val="00A3792A"/>
    <w:rsid w:val="00A65711"/>
    <w:rsid w:val="00A8129E"/>
    <w:rsid w:val="00AA1D8D"/>
    <w:rsid w:val="00B47730"/>
    <w:rsid w:val="00B83BF7"/>
    <w:rsid w:val="00C6737C"/>
    <w:rsid w:val="00CB0664"/>
    <w:rsid w:val="00CC199F"/>
    <w:rsid w:val="00D71398"/>
    <w:rsid w:val="00D86241"/>
    <w:rsid w:val="00DE6ECE"/>
    <w:rsid w:val="00E3512E"/>
    <w:rsid w:val="00E84D05"/>
    <w:rsid w:val="00EB066B"/>
    <w:rsid w:val="00F56831"/>
    <w:rsid w:val="00FC047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573AB18"/>
  <w14:defaultImageDpi w14:val="300"/>
  <w15:docId w15:val="{8A8DE2AA-D41E-A14D-9E9A-FB9697CAB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58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C4585"/>
    <w:pPr>
      <w:keepNext/>
      <w:keepLines/>
      <w:spacing w:before="480"/>
      <w:jc w:val="center"/>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rsid w:val="00D86241"/>
    <w:pPr>
      <w:keepNext/>
      <w:keepLines/>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C4585"/>
    <w:pPr>
      <w:keepNext/>
      <w:keepLines/>
      <w:spacing w:before="200"/>
      <w:outlineLvl w:val="2"/>
    </w:pPr>
    <w:rPr>
      <w:rFonts w:asciiTheme="majorHAnsi" w:eastAsiaTheme="majorEastAsia" w:hAnsiTheme="majorHAnsi" w:cstheme="majorBidi"/>
      <w:b/>
      <w:bCs/>
      <w:i/>
      <w:iCs/>
    </w:rPr>
  </w:style>
  <w:style w:type="paragraph" w:styleId="Heading4">
    <w:name w:val="heading 4"/>
    <w:basedOn w:val="Heading3"/>
    <w:next w:val="Normal"/>
    <w:link w:val="Heading4Char"/>
    <w:uiPriority w:val="9"/>
    <w:unhideWhenUsed/>
    <w:qFormat/>
    <w:rsid w:val="008C4585"/>
    <w:pPr>
      <w:ind w:left="720"/>
      <w:outlineLvl w:val="3"/>
    </w:pPr>
    <w:rPr>
      <w:u w:val="single"/>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8C4585"/>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D86241"/>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8C4585"/>
    <w:rPr>
      <w:rFonts w:asciiTheme="majorHAnsi" w:eastAsiaTheme="majorEastAsia" w:hAnsiTheme="majorHAnsi" w:cstheme="majorBidi"/>
      <w:b/>
      <w:bCs/>
      <w:i/>
      <w:iCs/>
      <w:sz w:val="24"/>
      <w:szCs w:val="24"/>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8C4585"/>
    <w:rPr>
      <w:rFonts w:asciiTheme="majorHAnsi" w:eastAsiaTheme="majorEastAsia" w:hAnsiTheme="majorHAnsi" w:cstheme="majorBidi"/>
      <w:b/>
      <w:bCs/>
      <w:i/>
      <w:iCs/>
      <w:sz w:val="24"/>
      <w:szCs w:val="24"/>
      <w:u w:val="single"/>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pple-converted-space">
    <w:name w:val="apple-converted-space"/>
    <w:basedOn w:val="DefaultParagraphFont"/>
    <w:rsid w:val="008C4585"/>
  </w:style>
  <w:style w:type="character" w:styleId="Hyperlink">
    <w:name w:val="Hyperlink"/>
    <w:basedOn w:val="DefaultParagraphFont"/>
    <w:uiPriority w:val="99"/>
    <w:unhideWhenUsed/>
    <w:rsid w:val="008C4585"/>
    <w:rPr>
      <w:color w:val="0000FF"/>
      <w:u w:val="single"/>
    </w:rPr>
  </w:style>
  <w:style w:type="character" w:styleId="UnresolvedMention">
    <w:name w:val="Unresolved Mention"/>
    <w:basedOn w:val="DefaultParagraphFont"/>
    <w:uiPriority w:val="99"/>
    <w:semiHidden/>
    <w:unhideWhenUsed/>
    <w:rsid w:val="008C4585"/>
    <w:rPr>
      <w:color w:val="605E5C"/>
      <w:shd w:val="clear" w:color="auto" w:fill="E1DFDD"/>
    </w:rPr>
  </w:style>
  <w:style w:type="character" w:styleId="PageNumber">
    <w:name w:val="page number"/>
    <w:basedOn w:val="DefaultParagraphFont"/>
    <w:uiPriority w:val="99"/>
    <w:semiHidden/>
    <w:unhideWhenUsed/>
    <w:rsid w:val="008C4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17295">
      <w:bodyDiv w:val="1"/>
      <w:marLeft w:val="0"/>
      <w:marRight w:val="0"/>
      <w:marTop w:val="0"/>
      <w:marBottom w:val="0"/>
      <w:divBdr>
        <w:top w:val="none" w:sz="0" w:space="0" w:color="auto"/>
        <w:left w:val="none" w:sz="0" w:space="0" w:color="auto"/>
        <w:bottom w:val="none" w:sz="0" w:space="0" w:color="auto"/>
        <w:right w:val="none" w:sz="0" w:space="0" w:color="auto"/>
      </w:divBdr>
    </w:div>
    <w:div w:id="653030112">
      <w:bodyDiv w:val="1"/>
      <w:marLeft w:val="0"/>
      <w:marRight w:val="0"/>
      <w:marTop w:val="0"/>
      <w:marBottom w:val="0"/>
      <w:divBdr>
        <w:top w:val="none" w:sz="0" w:space="0" w:color="auto"/>
        <w:left w:val="none" w:sz="0" w:space="0" w:color="auto"/>
        <w:bottom w:val="none" w:sz="0" w:space="0" w:color="auto"/>
        <w:right w:val="none" w:sz="0" w:space="0" w:color="auto"/>
      </w:divBdr>
    </w:div>
    <w:div w:id="662927633">
      <w:bodyDiv w:val="1"/>
      <w:marLeft w:val="0"/>
      <w:marRight w:val="0"/>
      <w:marTop w:val="0"/>
      <w:marBottom w:val="0"/>
      <w:divBdr>
        <w:top w:val="none" w:sz="0" w:space="0" w:color="auto"/>
        <w:left w:val="none" w:sz="0" w:space="0" w:color="auto"/>
        <w:bottom w:val="none" w:sz="0" w:space="0" w:color="auto"/>
        <w:right w:val="none" w:sz="0" w:space="0" w:color="auto"/>
      </w:divBdr>
    </w:div>
    <w:div w:id="795292825">
      <w:bodyDiv w:val="1"/>
      <w:marLeft w:val="0"/>
      <w:marRight w:val="0"/>
      <w:marTop w:val="0"/>
      <w:marBottom w:val="0"/>
      <w:divBdr>
        <w:top w:val="none" w:sz="0" w:space="0" w:color="auto"/>
        <w:left w:val="none" w:sz="0" w:space="0" w:color="auto"/>
        <w:bottom w:val="none" w:sz="0" w:space="0" w:color="auto"/>
        <w:right w:val="none" w:sz="0" w:space="0" w:color="auto"/>
      </w:divBdr>
    </w:div>
    <w:div w:id="1328753518">
      <w:bodyDiv w:val="1"/>
      <w:marLeft w:val="0"/>
      <w:marRight w:val="0"/>
      <w:marTop w:val="0"/>
      <w:marBottom w:val="0"/>
      <w:divBdr>
        <w:top w:val="none" w:sz="0" w:space="0" w:color="auto"/>
        <w:left w:val="none" w:sz="0" w:space="0" w:color="auto"/>
        <w:bottom w:val="none" w:sz="0" w:space="0" w:color="auto"/>
        <w:right w:val="none" w:sz="0" w:space="0" w:color="auto"/>
      </w:divBdr>
    </w:div>
    <w:div w:id="1370569798">
      <w:bodyDiv w:val="1"/>
      <w:marLeft w:val="0"/>
      <w:marRight w:val="0"/>
      <w:marTop w:val="0"/>
      <w:marBottom w:val="0"/>
      <w:divBdr>
        <w:top w:val="none" w:sz="0" w:space="0" w:color="auto"/>
        <w:left w:val="none" w:sz="0" w:space="0" w:color="auto"/>
        <w:bottom w:val="none" w:sz="0" w:space="0" w:color="auto"/>
        <w:right w:val="none" w:sz="0" w:space="0" w:color="auto"/>
      </w:divBdr>
    </w:div>
    <w:div w:id="1455169368">
      <w:bodyDiv w:val="1"/>
      <w:marLeft w:val="0"/>
      <w:marRight w:val="0"/>
      <w:marTop w:val="0"/>
      <w:marBottom w:val="0"/>
      <w:divBdr>
        <w:top w:val="none" w:sz="0" w:space="0" w:color="auto"/>
        <w:left w:val="none" w:sz="0" w:space="0" w:color="auto"/>
        <w:bottom w:val="none" w:sz="0" w:space="0" w:color="auto"/>
        <w:right w:val="none" w:sz="0" w:space="0" w:color="auto"/>
      </w:divBdr>
    </w:div>
    <w:div w:id="1881166326">
      <w:bodyDiv w:val="1"/>
      <w:marLeft w:val="0"/>
      <w:marRight w:val="0"/>
      <w:marTop w:val="0"/>
      <w:marBottom w:val="0"/>
      <w:divBdr>
        <w:top w:val="none" w:sz="0" w:space="0" w:color="auto"/>
        <w:left w:val="none" w:sz="0" w:space="0" w:color="auto"/>
        <w:bottom w:val="none" w:sz="0" w:space="0" w:color="auto"/>
        <w:right w:val="none" w:sz="0" w:space="0" w:color="auto"/>
      </w:divBdr>
    </w:div>
    <w:div w:id="2049911321">
      <w:bodyDiv w:val="1"/>
      <w:marLeft w:val="0"/>
      <w:marRight w:val="0"/>
      <w:marTop w:val="0"/>
      <w:marBottom w:val="0"/>
      <w:divBdr>
        <w:top w:val="none" w:sz="0" w:space="0" w:color="auto"/>
        <w:left w:val="none" w:sz="0" w:space="0" w:color="auto"/>
        <w:bottom w:val="none" w:sz="0" w:space="0" w:color="auto"/>
        <w:right w:val="none" w:sz="0" w:space="0" w:color="auto"/>
      </w:divBdr>
    </w:div>
    <w:div w:id="2088845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wumbua.monono@ndsu.edu" TargetMode="External"/><Relationship Id="rId13" Type="http://schemas.openxmlformats.org/officeDocument/2006/relationships/hyperlink" Target="mailto:krausch@illinois.ed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fronc@msu.ed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gineering.purdue.edu/E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wumbua.monono@ndsu.edu" TargetMode="External"/><Relationship Id="rId5" Type="http://schemas.openxmlformats.org/officeDocument/2006/relationships/webSettings" Target="webSettings.xml"/><Relationship Id="rId15" Type="http://schemas.openxmlformats.org/officeDocument/2006/relationships/hyperlink" Target="mailto:aengelbe@purdue.edu" TargetMode="External"/><Relationship Id="rId10" Type="http://schemas.openxmlformats.org/officeDocument/2006/relationships/hyperlink" Target="mailto:aengelbe@purdue.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jbarzee@uky.edu" TargetMode="External"/><Relationship Id="rId14" Type="http://schemas.openxmlformats.org/officeDocument/2006/relationships/hyperlink" Target="mailto:mtumbles@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1894</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Monono, Ewumbua</cp:lastModifiedBy>
  <cp:revision>15</cp:revision>
  <dcterms:created xsi:type="dcterms:W3CDTF">2025-07-18T16:24:00Z</dcterms:created>
  <dcterms:modified xsi:type="dcterms:W3CDTF">2025-07-24T23:23:00Z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2025-07-14T17:33:14Z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52168668-4dd0-4daf-b6e5-3c3c39efdf05</vt:lpwstr>
  </property>
  <property fmtid="{D5CDD505-2E9C-101B-9397-08002B2CF9AE}" pid="8" name="MSIP_Label_f7606f69-b0ae-4874-be30-7d43a3c7be10_ContentBits">
    <vt:lpwstr>0</vt:lpwstr>
  </property>
  <property fmtid="{D5CDD505-2E9C-101B-9397-08002B2CF9AE}" pid="9" name="MSIP_Label_f7606f69-b0ae-4874-be30-7d43a3c7be10_Tag">
    <vt:lpwstr>50, 3, 0, 1</vt:lpwstr>
  </property>
</Properties>
</file>