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55F31" w14:textId="795D1631" w:rsid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SUMMARY OF MEETING MINUTES</w:t>
      </w:r>
    </w:p>
    <w:p w14:paraId="6A395B5A" w14:textId="77777777" w:rsidR="005568FB" w:rsidRDefault="005568FB" w:rsidP="005568FB">
      <w:pPr>
        <w:pStyle w:val="Default"/>
        <w:rPr>
          <w:b/>
          <w:bCs/>
        </w:rPr>
      </w:pPr>
    </w:p>
    <w:p w14:paraId="45649184" w14:textId="19FCE9FE" w:rsidR="005568FB" w:rsidRPr="005568FB" w:rsidRDefault="005568FB" w:rsidP="005568FB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 xml:space="preserve">This was the first annual meeting of the project. Participants gave an overview of the research they are conducting and </w:t>
      </w:r>
      <w:proofErr w:type="gramStart"/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>avenues</w:t>
      </w:r>
      <w:proofErr w:type="gramEnd"/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 xml:space="preserve"> for incorporating mobility data. Then a discussion was held about opportunities for collaboration between group members on projects related to </w:t>
      </w:r>
      <w:r w:rsidR="00E413FC">
        <w:rPr>
          <w:rFonts w:asciiTheme="minorHAnsi" w:eastAsia="Times New Roman" w:hAnsiTheme="minorHAnsi" w:cs="Times New Roman"/>
          <w:sz w:val="22"/>
          <w:szCs w:val="22"/>
          <w14:ligatures w14:val="none"/>
        </w:rPr>
        <w:t>NE2204</w:t>
      </w:r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 xml:space="preserve">. A plan was developed to hold monthly check-in meetings to continue progress toward achieving the primary </w:t>
      </w:r>
      <w:proofErr w:type="gramStart"/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>FY 2025 goals of</w:t>
      </w:r>
      <w:proofErr w:type="gramEnd"/>
      <w:r w:rsidRPr="005568FB">
        <w:rPr>
          <w:rFonts w:asciiTheme="minorHAnsi" w:eastAsia="Times New Roman" w:hAnsiTheme="minorHAnsi" w:cs="Times New Roman"/>
          <w:sz w:val="22"/>
          <w:szCs w:val="22"/>
          <w14:ligatures w14:val="none"/>
        </w:rPr>
        <w:t>:</w:t>
      </w:r>
    </w:p>
    <w:p w14:paraId="3E2F4B7F" w14:textId="77777777" w:rsidR="005568FB" w:rsidRPr="005568FB" w:rsidRDefault="005568FB" w:rsidP="00556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5568FB">
        <w:rPr>
          <w:rFonts w:eastAsia="Times New Roman" w:cs="Times New Roman"/>
          <w:color w:val="000000"/>
          <w:kern w:val="0"/>
          <w14:ligatures w14:val="none"/>
        </w:rPr>
        <w:t>Identifying applications for mobility data within each participant’s research areas</w:t>
      </w:r>
    </w:p>
    <w:p w14:paraId="103C9BE3" w14:textId="50FBC2B8" w:rsidR="005568FB" w:rsidRPr="005568FB" w:rsidRDefault="005568FB" w:rsidP="005568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kern w:val="0"/>
          <w14:ligatures w14:val="none"/>
        </w:rPr>
      </w:pPr>
      <w:r w:rsidRPr="005568FB">
        <w:rPr>
          <w:rFonts w:eastAsia="Times New Roman" w:cs="Times New Roman"/>
          <w:color w:val="000000"/>
          <w:kern w:val="0"/>
          <w14:ligatures w14:val="none"/>
        </w:rPr>
        <w:t xml:space="preserve">Collaborating on research regarding food access and </w:t>
      </w:r>
      <w:proofErr w:type="gramStart"/>
      <w:r w:rsidRPr="005568FB">
        <w:rPr>
          <w:rFonts w:eastAsia="Times New Roman" w:cs="Times New Roman"/>
          <w:color w:val="000000"/>
          <w:kern w:val="0"/>
          <w14:ligatures w14:val="none"/>
        </w:rPr>
        <w:t>retailing</w:t>
      </w:r>
      <w:proofErr w:type="gramEnd"/>
      <w:r w:rsidRPr="005568FB">
        <w:rPr>
          <w:rFonts w:eastAsia="Times New Roman" w:cs="Times New Roman"/>
          <w:color w:val="000000"/>
          <w:kern w:val="0"/>
          <w14:ligatures w14:val="none"/>
        </w:rPr>
        <w:t xml:space="preserve"> utilizing mobility data</w:t>
      </w:r>
    </w:p>
    <w:p w14:paraId="0DD97768" w14:textId="77777777" w:rsidR="005568FB" w:rsidRDefault="005568FB" w:rsidP="005568FB">
      <w:pPr>
        <w:pStyle w:val="Default"/>
        <w:rPr>
          <w:b/>
          <w:bCs/>
        </w:rPr>
      </w:pPr>
    </w:p>
    <w:p w14:paraId="5DAFCDCC" w14:textId="77777777" w:rsidR="005568FB" w:rsidRDefault="005568FB" w:rsidP="005568FB">
      <w:pPr>
        <w:pStyle w:val="Default"/>
        <w:rPr>
          <w:b/>
          <w:bCs/>
        </w:rPr>
      </w:pPr>
    </w:p>
    <w:p w14:paraId="3B92A969" w14:textId="762BF882" w:rsid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ACCOMPLISHMENTS</w:t>
      </w:r>
    </w:p>
    <w:p w14:paraId="55ABB4F0" w14:textId="6CD24CB8" w:rsidR="005568FB" w:rsidRP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Peer-Reviewed Publications</w:t>
      </w:r>
    </w:p>
    <w:p w14:paraId="5CDB8EF9" w14:textId="73541B9F" w:rsidR="005568FB" w:rsidRPr="005568FB" w:rsidRDefault="005568FB" w:rsidP="005568FB">
      <w:pPr>
        <w:spacing w:line="240" w:lineRule="auto"/>
        <w:rPr>
          <w:rFonts w:eastAsia="Yu Gothic"/>
        </w:rPr>
      </w:pPr>
      <w:r w:rsidRPr="005568FB">
        <w:rPr>
          <w:rFonts w:eastAsia="Yu Gothic"/>
          <w:b/>
          <w:bCs/>
        </w:rPr>
        <w:t>Connolly, Cristina</w:t>
      </w:r>
      <w:r w:rsidRPr="005568FB">
        <w:rPr>
          <w:rFonts w:eastAsia="Yu Gothic"/>
        </w:rPr>
        <w:t xml:space="preserve">., Graziano, Marcello., and </w:t>
      </w:r>
      <w:r w:rsidRPr="005568FB">
        <w:rPr>
          <w:rFonts w:eastAsia="Yu Gothic"/>
          <w:b/>
          <w:bCs/>
        </w:rPr>
        <w:t>Steinbach, Sandro.</w:t>
      </w:r>
      <w:r w:rsidRPr="005568FB">
        <w:rPr>
          <w:rFonts w:eastAsia="Yu Gothic"/>
        </w:rPr>
        <w:t xml:space="preserve"> (2024). “David versus Goliath? The Impact of Corporate Expansion in the Alcohol Retail Industry on Incumbent Small-Scale Retailers.” </w:t>
      </w:r>
      <w:r w:rsidRPr="005568FB">
        <w:rPr>
          <w:rFonts w:eastAsia="Yu Gothic"/>
          <w:i/>
          <w:iCs/>
        </w:rPr>
        <w:t>Journal of Wine Economics</w:t>
      </w:r>
      <w:r w:rsidRPr="005568FB">
        <w:rPr>
          <w:rFonts w:eastAsia="Yu Gothic"/>
        </w:rPr>
        <w:t>. (Forthcoming).</w:t>
      </w:r>
    </w:p>
    <w:p w14:paraId="244D450C" w14:textId="397FAA1C" w:rsidR="005568FB" w:rsidRPr="005568FB" w:rsidRDefault="005568FB" w:rsidP="005568FB">
      <w:pPr>
        <w:spacing w:line="240" w:lineRule="auto"/>
        <w:rPr>
          <w:rFonts w:eastAsia="Yu Gothic"/>
        </w:rPr>
      </w:pPr>
      <w:r w:rsidRPr="005568FB">
        <w:rPr>
          <w:rFonts w:eastAsia="Yu Gothic"/>
          <w:b/>
          <w:bCs/>
        </w:rPr>
        <w:t>Connolly, Cristina.</w:t>
      </w:r>
      <w:r w:rsidRPr="005568FB">
        <w:rPr>
          <w:rFonts w:eastAsia="Yu Gothic"/>
        </w:rPr>
        <w:t xml:space="preserve">, Cusack, Carolanne, Morzillo, Anita T., and Charles Towe. (2024). Challenges Facing Agritourism: How </w:t>
      </w:r>
      <w:proofErr w:type="gramStart"/>
      <w:r w:rsidRPr="005568FB">
        <w:rPr>
          <w:rFonts w:eastAsia="Yu Gothic"/>
        </w:rPr>
        <w:t>Are Producers</w:t>
      </w:r>
      <w:proofErr w:type="gramEnd"/>
      <w:r w:rsidRPr="005568FB">
        <w:rPr>
          <w:rFonts w:eastAsia="Yu Gothic"/>
        </w:rPr>
        <w:t xml:space="preserve"> Coping. </w:t>
      </w:r>
      <w:r w:rsidRPr="005568FB">
        <w:rPr>
          <w:rFonts w:eastAsia="Yu Gothic"/>
          <w:i/>
          <w:iCs/>
        </w:rPr>
        <w:t>Choices</w:t>
      </w:r>
      <w:r w:rsidRPr="005568FB">
        <w:rPr>
          <w:rFonts w:eastAsia="Yu Gothic"/>
        </w:rPr>
        <w:t>. 39(3).</w:t>
      </w:r>
    </w:p>
    <w:p w14:paraId="54FBFEFF" w14:textId="55978281" w:rsidR="005568FB" w:rsidRPr="005568FB" w:rsidRDefault="005568FB" w:rsidP="005568FB">
      <w:pPr>
        <w:spacing w:line="240" w:lineRule="auto"/>
        <w:rPr>
          <w:rFonts w:eastAsia="Yu Gothic"/>
        </w:rPr>
      </w:pPr>
      <w:r w:rsidRPr="005568FB">
        <w:rPr>
          <w:rFonts w:eastAsia="Yu Gothic"/>
          <w:b/>
          <w:bCs/>
        </w:rPr>
        <w:t>Connolly, Cristina.</w:t>
      </w:r>
      <w:r w:rsidRPr="005568FB">
        <w:rPr>
          <w:rFonts w:eastAsia="Yu Gothic"/>
        </w:rPr>
        <w:t xml:space="preserve">, Klaiber, A. (2024). Location Choice and Food Tradeoffs: Does Local Matter. </w:t>
      </w:r>
      <w:r w:rsidRPr="005568FB">
        <w:rPr>
          <w:rFonts w:eastAsia="Yu Gothic"/>
          <w:i/>
          <w:iCs/>
        </w:rPr>
        <w:t>Land Economics</w:t>
      </w:r>
      <w:r w:rsidRPr="005568FB">
        <w:rPr>
          <w:rFonts w:eastAsia="Yu Gothic"/>
        </w:rPr>
        <w:t>. 100(3).</w:t>
      </w:r>
    </w:p>
    <w:p w14:paraId="2312682D" w14:textId="0677B0CD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  <w:b/>
          <w:bCs/>
        </w:rPr>
        <w:t>Steinbach, Sandro</w:t>
      </w:r>
      <w:r w:rsidRPr="005568FB">
        <w:rPr>
          <w:rFonts w:eastAsia="Yu Gothic"/>
        </w:rPr>
        <w:t xml:space="preserve"> (2024). “The Corporatization of Veterinary Medicine: An Empirical Analysis of Its</w:t>
      </w:r>
    </w:p>
    <w:p w14:paraId="46805A67" w14:textId="338B99D8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</w:rPr>
        <w:t>Impact on Independent Practices</w:t>
      </w:r>
      <w:r w:rsidRPr="005568FB">
        <w:rPr>
          <w:rFonts w:eastAsia="Yu Gothic"/>
          <w:i/>
          <w:iCs/>
        </w:rPr>
        <w:t>,” Journal of the Agricultural &amp; Applied Economics Association</w:t>
      </w:r>
      <w:r w:rsidRPr="005568FB">
        <w:rPr>
          <w:rFonts w:eastAsia="Yu Gothic"/>
        </w:rPr>
        <w:t>. (Forthcoming).</w:t>
      </w:r>
    </w:p>
    <w:p w14:paraId="1B9149B1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23ED587C" w14:textId="60558D71" w:rsidR="005568FB" w:rsidRPr="005568FB" w:rsidRDefault="005568FB" w:rsidP="005568FB">
      <w:pPr>
        <w:spacing w:after="0" w:line="240" w:lineRule="auto"/>
        <w:rPr>
          <w:rFonts w:eastAsia="Yu Gothic"/>
        </w:rPr>
      </w:pPr>
      <w:proofErr w:type="spellStart"/>
      <w:r w:rsidRPr="005568FB">
        <w:rPr>
          <w:rFonts w:eastAsia="Yu Gothic"/>
        </w:rPr>
        <w:t>Awokuse</w:t>
      </w:r>
      <w:proofErr w:type="spellEnd"/>
      <w:r w:rsidRPr="005568FB">
        <w:rPr>
          <w:rFonts w:eastAsia="Yu Gothic"/>
        </w:rPr>
        <w:t xml:space="preserve">, </w:t>
      </w:r>
      <w:proofErr w:type="gramStart"/>
      <w:r w:rsidRPr="005568FB">
        <w:rPr>
          <w:rFonts w:eastAsia="Yu Gothic"/>
        </w:rPr>
        <w:t>Titus ,</w:t>
      </w:r>
      <w:proofErr w:type="gramEnd"/>
      <w:r w:rsidRPr="005568FB">
        <w:rPr>
          <w:rFonts w:eastAsia="Yu Gothic"/>
        </w:rPr>
        <w:t xml:space="preserve"> Lim, </w:t>
      </w:r>
      <w:proofErr w:type="spellStart"/>
      <w:r w:rsidRPr="005568FB">
        <w:rPr>
          <w:rFonts w:eastAsia="Yu Gothic"/>
        </w:rPr>
        <w:t>Sunghun</w:t>
      </w:r>
      <w:proofErr w:type="spellEnd"/>
      <w:r w:rsidRPr="005568FB">
        <w:rPr>
          <w:rFonts w:eastAsia="Yu Gothic"/>
        </w:rPr>
        <w:t xml:space="preserve">, Santeramo, Fabio and </w:t>
      </w:r>
      <w:r w:rsidRPr="005568FB">
        <w:rPr>
          <w:rFonts w:eastAsia="Yu Gothic"/>
          <w:b/>
          <w:bCs/>
        </w:rPr>
        <w:t>Sandro Steinbach</w:t>
      </w:r>
      <w:r w:rsidRPr="005568FB">
        <w:rPr>
          <w:rFonts w:eastAsia="Yu Gothic"/>
        </w:rPr>
        <w:t xml:space="preserve">. (2024). “Robust Policy Frameworks for Strengthening the Resilience and Sustainability of Agri-Food Global Value Chains,” </w:t>
      </w:r>
      <w:r w:rsidRPr="005568FB">
        <w:rPr>
          <w:rFonts w:eastAsia="Yu Gothic"/>
          <w:i/>
          <w:iCs/>
        </w:rPr>
        <w:t>Food Policy</w:t>
      </w:r>
      <w:r w:rsidRPr="005568FB">
        <w:rPr>
          <w:rFonts w:eastAsia="Yu Gothic"/>
        </w:rPr>
        <w:t>, 127,102714.</w:t>
      </w:r>
    </w:p>
    <w:p w14:paraId="36E077B1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3F75DA5E" w14:textId="20808E45" w:rsidR="005568FB" w:rsidRPr="005568FB" w:rsidRDefault="005568FB" w:rsidP="005568FB">
      <w:pPr>
        <w:spacing w:after="0" w:line="240" w:lineRule="auto"/>
        <w:rPr>
          <w:rFonts w:eastAsia="Yu Gothic"/>
        </w:rPr>
      </w:pPr>
      <w:proofErr w:type="spellStart"/>
      <w:r w:rsidRPr="005568FB">
        <w:rPr>
          <w:rFonts w:eastAsia="Yu Gothic"/>
        </w:rPr>
        <w:t>Nganje</w:t>
      </w:r>
      <w:proofErr w:type="spellEnd"/>
      <w:r w:rsidRPr="005568FB">
        <w:rPr>
          <w:rFonts w:eastAsia="Yu Gothic"/>
        </w:rPr>
        <w:t xml:space="preserve">, William and </w:t>
      </w:r>
      <w:r w:rsidRPr="005568FB">
        <w:rPr>
          <w:rFonts w:eastAsia="Yu Gothic"/>
          <w:b/>
          <w:bCs/>
        </w:rPr>
        <w:t>Sandro Steinbach</w:t>
      </w:r>
      <w:r w:rsidRPr="005568FB">
        <w:rPr>
          <w:rFonts w:eastAsia="Yu Gothic"/>
        </w:rPr>
        <w:t>. (2024). “Policy Options for Managing Avian Influenza in Dairy</w:t>
      </w:r>
      <w:r>
        <w:rPr>
          <w:rFonts w:eastAsia="Yu Gothic"/>
        </w:rPr>
        <w:t xml:space="preserve"> </w:t>
      </w:r>
      <w:r w:rsidRPr="005568FB">
        <w:rPr>
          <w:rFonts w:eastAsia="Yu Gothic"/>
        </w:rPr>
        <w:t xml:space="preserve">Cows,” </w:t>
      </w:r>
      <w:r w:rsidRPr="005568FB">
        <w:rPr>
          <w:rFonts w:eastAsia="Yu Gothic"/>
          <w:i/>
          <w:iCs/>
        </w:rPr>
        <w:t>Food Policy</w:t>
      </w:r>
      <w:r w:rsidRPr="005568FB">
        <w:rPr>
          <w:rFonts w:eastAsia="Yu Gothic"/>
        </w:rPr>
        <w:t>, 128, 102691</w:t>
      </w:r>
    </w:p>
    <w:p w14:paraId="672E8BF5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00C7CCB5" w14:textId="41AA192A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</w:rPr>
        <w:t xml:space="preserve">Gordeev, Stepan and </w:t>
      </w:r>
      <w:r w:rsidRPr="005568FB">
        <w:rPr>
          <w:rFonts w:eastAsia="Yu Gothic"/>
          <w:b/>
          <w:bCs/>
        </w:rPr>
        <w:t>Sandro Steinbach</w:t>
      </w:r>
      <w:r w:rsidRPr="005568FB">
        <w:rPr>
          <w:rFonts w:eastAsia="Yu Gothic"/>
        </w:rPr>
        <w:t xml:space="preserve"> (2024). “Determinants of PTA Design: Insights from Machine</w:t>
      </w:r>
      <w:r>
        <w:rPr>
          <w:rFonts w:eastAsia="Yu Gothic"/>
        </w:rPr>
        <w:t xml:space="preserve"> </w:t>
      </w:r>
      <w:r w:rsidRPr="005568FB">
        <w:rPr>
          <w:rFonts w:eastAsia="Yu Gothic"/>
        </w:rPr>
        <w:t xml:space="preserve">Learning,” </w:t>
      </w:r>
      <w:r w:rsidRPr="005568FB">
        <w:rPr>
          <w:rFonts w:eastAsia="Yu Gothic"/>
          <w:i/>
          <w:iCs/>
        </w:rPr>
        <w:t>International Economics</w:t>
      </w:r>
      <w:r w:rsidRPr="005568FB">
        <w:rPr>
          <w:rFonts w:eastAsia="Yu Gothic"/>
        </w:rPr>
        <w:t>, 178, 100504.</w:t>
      </w:r>
    </w:p>
    <w:p w14:paraId="6D8D5991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20FE51BE" w14:textId="4848D621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</w:rPr>
        <w:t xml:space="preserve">Lopez, Rigoberto, Marchesi, Keenan and </w:t>
      </w:r>
      <w:r w:rsidRPr="005568FB">
        <w:rPr>
          <w:rFonts w:eastAsia="Yu Gothic"/>
          <w:b/>
          <w:bCs/>
        </w:rPr>
        <w:t>Sandro Steinbach</w:t>
      </w:r>
      <w:r w:rsidRPr="005568FB">
        <w:rPr>
          <w:rFonts w:eastAsia="Yu Gothic"/>
        </w:rPr>
        <w:t xml:space="preserve">. (2024). “Dollar Store Expansion and Independent Grocery Retailer Contraction,” </w:t>
      </w:r>
      <w:r w:rsidRPr="005568FB">
        <w:rPr>
          <w:rFonts w:eastAsia="Yu Gothic"/>
          <w:i/>
          <w:iCs/>
        </w:rPr>
        <w:t>Applied Economic Perspectives and Policy</w:t>
      </w:r>
      <w:r w:rsidRPr="005568FB">
        <w:rPr>
          <w:rFonts w:eastAsia="Yu Gothic"/>
        </w:rPr>
        <w:t>, 18(4): 514–533.</w:t>
      </w:r>
    </w:p>
    <w:p w14:paraId="32BF00F1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31816C0D" w14:textId="371600DA" w:rsidR="005568FB" w:rsidRPr="005568FB" w:rsidRDefault="005568FB" w:rsidP="005568FB">
      <w:pPr>
        <w:spacing w:line="240" w:lineRule="auto"/>
        <w:rPr>
          <w:rFonts w:eastAsia="Yu Gothic"/>
        </w:rPr>
      </w:pPr>
      <w:r w:rsidRPr="005568FB">
        <w:rPr>
          <w:rFonts w:eastAsia="Yu Gothic"/>
          <w:b/>
          <w:bCs/>
        </w:rPr>
        <w:t>Connolly, Cristina</w:t>
      </w:r>
      <w:r w:rsidRPr="005568FB">
        <w:rPr>
          <w:rFonts w:eastAsia="Yu Gothic"/>
        </w:rPr>
        <w:t xml:space="preserve">, Graziano, Marcello, McDonnell, Alyssa, and </w:t>
      </w:r>
      <w:r w:rsidRPr="005568FB">
        <w:rPr>
          <w:rFonts w:eastAsia="Yu Gothic"/>
          <w:b/>
          <w:bCs/>
        </w:rPr>
        <w:t>Steinbach, Sandro</w:t>
      </w:r>
      <w:r w:rsidRPr="005568FB">
        <w:rPr>
          <w:rFonts w:eastAsia="Yu Gothic"/>
        </w:rPr>
        <w:t xml:space="preserve">. (2023). In </w:t>
      </w:r>
      <w:proofErr w:type="spellStart"/>
      <w:r w:rsidRPr="005568FB">
        <w:rPr>
          <w:rFonts w:eastAsia="Yu Gothic"/>
        </w:rPr>
        <w:t>Cervisia</w:t>
      </w:r>
      <w:proofErr w:type="spellEnd"/>
      <w:r w:rsidRPr="005568FB">
        <w:rPr>
          <w:rFonts w:eastAsia="Yu Gothic"/>
        </w:rPr>
        <w:t xml:space="preserve"> Veritas: The Impact of Repealing Sunday Blue Laws on Alcohol Sales and Retail Competition. </w:t>
      </w:r>
      <w:r w:rsidRPr="005568FB">
        <w:rPr>
          <w:rFonts w:eastAsia="Yu Gothic"/>
          <w:i/>
          <w:iCs/>
        </w:rPr>
        <w:t>Journal of Wine Economics</w:t>
      </w:r>
      <w:r w:rsidRPr="005568FB">
        <w:rPr>
          <w:rFonts w:eastAsia="Yu Gothic"/>
        </w:rPr>
        <w:t>. 18(4).</w:t>
      </w:r>
    </w:p>
    <w:p w14:paraId="3A6E0942" w14:textId="2A723D89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</w:rPr>
        <w:lastRenderedPageBreak/>
        <w:t xml:space="preserve">Jiang, </w:t>
      </w:r>
      <w:proofErr w:type="spellStart"/>
      <w:r w:rsidRPr="005568FB">
        <w:rPr>
          <w:rFonts w:eastAsia="Yu Gothic"/>
        </w:rPr>
        <w:t>Qianxia</w:t>
      </w:r>
      <w:proofErr w:type="spellEnd"/>
      <w:r w:rsidRPr="005568FB">
        <w:rPr>
          <w:rFonts w:eastAsia="Yu Gothic"/>
        </w:rPr>
        <w:t xml:space="preserve">, Ghosh, </w:t>
      </w:r>
      <w:proofErr w:type="spellStart"/>
      <w:r w:rsidRPr="005568FB">
        <w:rPr>
          <w:rFonts w:eastAsia="Yu Gothic"/>
        </w:rPr>
        <w:t>Debarchana</w:t>
      </w:r>
      <w:proofErr w:type="spellEnd"/>
      <w:r w:rsidRPr="005568FB">
        <w:rPr>
          <w:rFonts w:eastAsia="Yu Gothic"/>
        </w:rPr>
        <w:t xml:space="preserve">, </w:t>
      </w:r>
      <w:r w:rsidRPr="005568FB">
        <w:rPr>
          <w:rFonts w:eastAsia="Yu Gothic"/>
          <w:b/>
          <w:bCs/>
        </w:rPr>
        <w:t>Steinbach, Sandro</w:t>
      </w:r>
      <w:r w:rsidRPr="005568FB">
        <w:rPr>
          <w:rFonts w:eastAsia="Yu Gothic"/>
        </w:rPr>
        <w:t xml:space="preserve"> and Kristen Cooksey Stowers (2023). “An Empirical</w:t>
      </w:r>
      <w:r>
        <w:rPr>
          <w:rFonts w:eastAsia="Yu Gothic"/>
        </w:rPr>
        <w:t xml:space="preserve"> </w:t>
      </w:r>
      <w:r w:rsidRPr="005568FB">
        <w:rPr>
          <w:rFonts w:eastAsia="Yu Gothic"/>
        </w:rPr>
        <w:t>Assessment of Racial and Ethnic Inequities in Food Environment Exposure and Retail Market Concentration,”</w:t>
      </w:r>
      <w:r>
        <w:rPr>
          <w:rFonts w:eastAsia="Yu Gothic"/>
        </w:rPr>
        <w:t xml:space="preserve"> </w:t>
      </w:r>
      <w:r w:rsidRPr="005568FB">
        <w:rPr>
          <w:rFonts w:eastAsia="Yu Gothic"/>
          <w:i/>
          <w:iCs/>
        </w:rPr>
        <w:t>Public Health Nutrition</w:t>
      </w:r>
      <w:r w:rsidRPr="005568FB">
        <w:rPr>
          <w:rFonts w:eastAsia="Yu Gothic"/>
        </w:rPr>
        <w:t>, 26(9): 1850–1861.</w:t>
      </w:r>
    </w:p>
    <w:p w14:paraId="42AB2C3C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5C808BBD" w14:textId="1859D4DD" w:rsidR="005568FB" w:rsidRPr="005568FB" w:rsidRDefault="005568FB" w:rsidP="005568FB">
      <w:pPr>
        <w:spacing w:after="0" w:line="240" w:lineRule="auto"/>
        <w:rPr>
          <w:rFonts w:eastAsia="Yu Gothic"/>
        </w:rPr>
      </w:pPr>
      <w:r w:rsidRPr="005568FB">
        <w:rPr>
          <w:rFonts w:eastAsia="Yu Gothic"/>
        </w:rPr>
        <w:t xml:space="preserve">Schweizer, Heidi, </w:t>
      </w:r>
      <w:r w:rsidRPr="005568FB">
        <w:rPr>
          <w:rFonts w:eastAsia="Yu Gothic"/>
          <w:b/>
          <w:bCs/>
        </w:rPr>
        <w:t>Steinbach, Sandro</w:t>
      </w:r>
      <w:r w:rsidRPr="005568FB">
        <w:rPr>
          <w:rFonts w:eastAsia="Yu Gothic"/>
        </w:rPr>
        <w:t xml:space="preserve"> and </w:t>
      </w:r>
      <w:proofErr w:type="spellStart"/>
      <w:r w:rsidRPr="005568FB">
        <w:rPr>
          <w:rFonts w:eastAsia="Yu Gothic"/>
        </w:rPr>
        <w:t>Xiting</w:t>
      </w:r>
      <w:proofErr w:type="spellEnd"/>
      <w:r w:rsidRPr="005568FB">
        <w:rPr>
          <w:rFonts w:eastAsia="Yu Gothic"/>
        </w:rPr>
        <w:t xml:space="preserve"> Zhuang. (2022). “A Portrait of Firms that Trade in Meat</w:t>
      </w:r>
      <w:r>
        <w:rPr>
          <w:rFonts w:eastAsia="Yu Gothic"/>
        </w:rPr>
        <w:t xml:space="preserve"> </w:t>
      </w:r>
      <w:r w:rsidRPr="005568FB">
        <w:rPr>
          <w:rFonts w:eastAsia="Yu Gothic"/>
        </w:rPr>
        <w:t xml:space="preserve">Products,” </w:t>
      </w:r>
      <w:r w:rsidRPr="005568FB">
        <w:rPr>
          <w:rFonts w:eastAsia="Yu Gothic"/>
          <w:i/>
          <w:iCs/>
        </w:rPr>
        <w:t>Western Economics Forum</w:t>
      </w:r>
      <w:r w:rsidRPr="005568FB">
        <w:rPr>
          <w:rFonts w:eastAsia="Yu Gothic"/>
        </w:rPr>
        <w:t>, 20(2): 6–18.</w:t>
      </w:r>
    </w:p>
    <w:p w14:paraId="45C965E8" w14:textId="77777777" w:rsidR="005568FB" w:rsidRPr="005568FB" w:rsidRDefault="005568FB" w:rsidP="005568FB">
      <w:pPr>
        <w:spacing w:after="0" w:line="240" w:lineRule="auto"/>
        <w:rPr>
          <w:rFonts w:eastAsia="Yu Gothic"/>
        </w:rPr>
      </w:pPr>
    </w:p>
    <w:p w14:paraId="14E90028" w14:textId="664D4F93" w:rsidR="005568FB" w:rsidRPr="005568FB" w:rsidRDefault="005568FB" w:rsidP="005568FB">
      <w:pPr>
        <w:pStyle w:val="Default"/>
        <w:rPr>
          <w:rFonts w:asciiTheme="minorHAnsi" w:eastAsia="Yu Gothic" w:hAnsiTheme="minorHAnsi"/>
          <w:sz w:val="22"/>
          <w:szCs w:val="22"/>
        </w:rPr>
      </w:pPr>
      <w:r w:rsidRPr="005568FB">
        <w:rPr>
          <w:rFonts w:asciiTheme="minorHAnsi" w:hAnsiTheme="minorHAnsi"/>
          <w:sz w:val="22"/>
          <w:szCs w:val="22"/>
        </w:rPr>
        <w:t xml:space="preserve">Dorfman, Jeffrey H., </w:t>
      </w:r>
      <w:r w:rsidRPr="005568FB">
        <w:rPr>
          <w:rFonts w:asciiTheme="minorHAnsi" w:hAnsiTheme="minorHAnsi"/>
          <w:b/>
          <w:bCs/>
          <w:sz w:val="22"/>
          <w:szCs w:val="22"/>
        </w:rPr>
        <w:t>Jared D. Grant</w:t>
      </w:r>
      <w:r w:rsidRPr="005568FB">
        <w:rPr>
          <w:rFonts w:asciiTheme="minorHAnsi" w:hAnsiTheme="minorHAnsi"/>
          <w:sz w:val="22"/>
          <w:szCs w:val="22"/>
        </w:rPr>
        <w:t>, and Julian M. Worley. (2022). "Using Truck</w:t>
      </w:r>
      <w:r w:rsidRPr="005568FB">
        <w:rPr>
          <w:rFonts w:ascii="Cambria Math" w:eastAsia="Yu Gothic" w:hAnsi="Cambria Math" w:cs="Cambria Math"/>
          <w:sz w:val="22"/>
          <w:szCs w:val="22"/>
        </w:rPr>
        <w:t>‐</w:t>
      </w:r>
      <w:r w:rsidRPr="005568FB">
        <w:rPr>
          <w:rFonts w:asciiTheme="minorHAnsi" w:eastAsia="Yu Gothic" w:hAnsiTheme="minorHAnsi"/>
          <w:sz w:val="22"/>
          <w:szCs w:val="22"/>
        </w:rPr>
        <w:t>to</w:t>
      </w:r>
      <w:r w:rsidRPr="005568FB">
        <w:rPr>
          <w:rFonts w:ascii="Cambria Math" w:eastAsia="Yu Gothic" w:hAnsi="Cambria Math" w:cs="Cambria Math"/>
          <w:sz w:val="22"/>
          <w:szCs w:val="22"/>
        </w:rPr>
        <w:t>‐</w:t>
      </w:r>
      <w:r w:rsidRPr="005568FB">
        <w:rPr>
          <w:rFonts w:asciiTheme="minorHAnsi" w:eastAsia="Yu Gothic" w:hAnsiTheme="minorHAnsi"/>
          <w:sz w:val="22"/>
          <w:szCs w:val="22"/>
        </w:rPr>
        <w:t xml:space="preserve">Trunk Programs </w:t>
      </w:r>
      <w:proofErr w:type="gramStart"/>
      <w:r w:rsidRPr="005568FB">
        <w:rPr>
          <w:rFonts w:asciiTheme="minorHAnsi" w:eastAsia="Yu Gothic" w:hAnsiTheme="minorHAnsi"/>
          <w:sz w:val="22"/>
          <w:szCs w:val="22"/>
        </w:rPr>
        <w:t xml:space="preserve">to </w:t>
      </w:r>
      <w:r>
        <w:rPr>
          <w:rFonts w:asciiTheme="minorHAnsi" w:eastAsia="Yu Gothic" w:hAnsiTheme="minorHAnsi"/>
          <w:sz w:val="22"/>
          <w:szCs w:val="22"/>
        </w:rPr>
        <w:t xml:space="preserve"> </w:t>
      </w:r>
      <w:r w:rsidRPr="005568FB">
        <w:rPr>
          <w:rFonts w:asciiTheme="minorHAnsi" w:eastAsia="Yu Gothic" w:hAnsiTheme="minorHAnsi"/>
          <w:sz w:val="22"/>
          <w:szCs w:val="22"/>
        </w:rPr>
        <w:t>Increase</w:t>
      </w:r>
      <w:proofErr w:type="gramEnd"/>
      <w:r w:rsidRPr="005568FB">
        <w:rPr>
          <w:rFonts w:asciiTheme="minorHAnsi" w:eastAsia="Yu Gothic" w:hAnsiTheme="minorHAnsi"/>
          <w:sz w:val="22"/>
          <w:szCs w:val="22"/>
        </w:rPr>
        <w:t xml:space="preserve"> Food Security and Help Support Farm Incomes." </w:t>
      </w:r>
      <w:r w:rsidRPr="005568FB">
        <w:rPr>
          <w:rFonts w:asciiTheme="minorHAnsi" w:eastAsia="Yu Gothic" w:hAnsiTheme="minorHAnsi"/>
          <w:i/>
          <w:iCs/>
          <w:sz w:val="22"/>
          <w:szCs w:val="22"/>
        </w:rPr>
        <w:t xml:space="preserve">Applied Economic Perspectives </w:t>
      </w:r>
    </w:p>
    <w:p w14:paraId="3B952940" w14:textId="604CE369" w:rsidR="005568FB" w:rsidRPr="005568FB" w:rsidRDefault="005568FB" w:rsidP="005568FB">
      <w:pPr>
        <w:spacing w:line="240" w:lineRule="auto"/>
        <w:rPr>
          <w:rFonts w:eastAsia="Yu Gothic"/>
        </w:rPr>
      </w:pPr>
      <w:r w:rsidRPr="005568FB">
        <w:rPr>
          <w:rFonts w:eastAsia="Yu Gothic"/>
          <w:i/>
          <w:iCs/>
        </w:rPr>
        <w:t xml:space="preserve">and Policy, </w:t>
      </w:r>
      <w:r w:rsidRPr="005568FB">
        <w:rPr>
          <w:rFonts w:eastAsia="Yu Gothic"/>
        </w:rPr>
        <w:t>44 (2022): 1440-1447.</w:t>
      </w:r>
    </w:p>
    <w:p w14:paraId="746C4E36" w14:textId="3A9BE000" w:rsidR="005568FB" w:rsidRP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Working Papers</w:t>
      </w:r>
    </w:p>
    <w:p w14:paraId="5499B435" w14:textId="08BD86B7" w:rsidR="005568FB" w:rsidRDefault="005568FB" w:rsidP="005568FB">
      <w:pPr>
        <w:spacing w:after="0" w:line="240" w:lineRule="auto"/>
      </w:pPr>
      <w:r>
        <w:t xml:space="preserve">Kim, </w:t>
      </w:r>
      <w:proofErr w:type="spellStart"/>
      <w:r>
        <w:t>Dongin</w:t>
      </w:r>
      <w:proofErr w:type="spellEnd"/>
      <w:r>
        <w:t xml:space="preserve"> and </w:t>
      </w:r>
      <w:r w:rsidRPr="005568FB">
        <w:rPr>
          <w:b/>
          <w:bCs/>
        </w:rPr>
        <w:t>Sandro Steinbach</w:t>
      </w:r>
      <w:r>
        <w:t xml:space="preserve"> (2024). “Is the WTO Passé? The Impact of Multilateral Economic Integration on Agri-Food Global Value Chains,” FREIT Working Paper 1816. (Revision requested in the World Economy.)</w:t>
      </w:r>
    </w:p>
    <w:p w14:paraId="09FFB9B5" w14:textId="77777777" w:rsidR="005568FB" w:rsidRDefault="005568FB" w:rsidP="005568FB">
      <w:pPr>
        <w:spacing w:after="0" w:line="240" w:lineRule="auto"/>
      </w:pPr>
    </w:p>
    <w:p w14:paraId="778FFA05" w14:textId="77FAA246" w:rsidR="005568FB" w:rsidRDefault="005568FB" w:rsidP="005568FB">
      <w:pPr>
        <w:spacing w:after="0" w:line="240" w:lineRule="auto"/>
      </w:pPr>
      <w:r>
        <w:t xml:space="preserve">Gordeev, Stepan, Jelliffe, Jeremy and </w:t>
      </w:r>
      <w:r w:rsidRPr="005568FB">
        <w:rPr>
          <w:b/>
          <w:bCs/>
        </w:rPr>
        <w:t>Sandro Steinbach</w:t>
      </w:r>
      <w:r>
        <w:t xml:space="preserve"> (2024). “What Matters for Agricultural Trade? Assessing the Role of Trade Deal Provisions using Machine Learning.” (2nd revision requested in Applied Economic Perspectives and Policy.)</w:t>
      </w:r>
    </w:p>
    <w:p w14:paraId="69779803" w14:textId="77777777" w:rsidR="005568FB" w:rsidRDefault="005568FB" w:rsidP="005568FB">
      <w:pPr>
        <w:spacing w:after="0" w:line="240" w:lineRule="auto"/>
      </w:pPr>
    </w:p>
    <w:p w14:paraId="27622594" w14:textId="71F090E6" w:rsidR="005568FB" w:rsidRDefault="005568FB" w:rsidP="005568FB">
      <w:pPr>
        <w:spacing w:after="0" w:line="240" w:lineRule="auto"/>
      </w:pPr>
      <w:proofErr w:type="spellStart"/>
      <w:r>
        <w:t>Donghoon</w:t>
      </w:r>
      <w:proofErr w:type="spellEnd"/>
      <w:r>
        <w:t xml:space="preserve">, Kim, Lopez, Rigoberto, Marchesi, Keenan and </w:t>
      </w:r>
      <w:r w:rsidRPr="005568FB">
        <w:rPr>
          <w:b/>
          <w:bCs/>
        </w:rPr>
        <w:t>Sandro Steinbach</w:t>
      </w:r>
      <w:r>
        <w:t>. (2024). “Survival of</w:t>
      </w:r>
    </w:p>
    <w:p w14:paraId="24E613E4" w14:textId="20F3C1E0" w:rsidR="005568FB" w:rsidRDefault="005568FB" w:rsidP="005568FB">
      <w:pPr>
        <w:spacing w:after="0" w:line="240" w:lineRule="auto"/>
      </w:pPr>
      <w:r>
        <w:t>Independent Grocery Retailers in a Changing Retail Landscape.” (Revision requested in the Journal of the Agricultural &amp; Applied Economics Association.)</w:t>
      </w:r>
    </w:p>
    <w:p w14:paraId="2995CD19" w14:textId="77777777" w:rsidR="005568FB" w:rsidRDefault="005568FB" w:rsidP="005568FB">
      <w:pPr>
        <w:spacing w:after="0" w:line="240" w:lineRule="auto"/>
      </w:pPr>
    </w:p>
    <w:p w14:paraId="19030D22" w14:textId="03666254" w:rsidR="005568FB" w:rsidRDefault="005568FB" w:rsidP="005568FB">
      <w:pPr>
        <w:spacing w:after="0" w:line="240" w:lineRule="auto"/>
      </w:pPr>
      <w:r>
        <w:t xml:space="preserve">Connolly, Cristina, </w:t>
      </w:r>
      <w:r w:rsidRPr="005568FB">
        <w:rPr>
          <w:b/>
          <w:bCs/>
        </w:rPr>
        <w:t>Steinbach, Sandro</w:t>
      </w:r>
      <w:r>
        <w:t xml:space="preserve">, Vo, Mike and </w:t>
      </w:r>
      <w:proofErr w:type="spellStart"/>
      <w:r>
        <w:t>Xibo</w:t>
      </w:r>
      <w:proofErr w:type="spellEnd"/>
      <w:r>
        <w:t xml:space="preserve"> Wan. (2024). “Unlocking Insights and Overcoming Challenges with Human Mobility Data for Applied Economic Research.” (Under Review).</w:t>
      </w:r>
    </w:p>
    <w:p w14:paraId="1D6BEA7C" w14:textId="77777777" w:rsidR="005568FB" w:rsidRDefault="005568FB" w:rsidP="005568FB">
      <w:pPr>
        <w:spacing w:after="0" w:line="240" w:lineRule="auto"/>
      </w:pPr>
    </w:p>
    <w:p w14:paraId="32474E6D" w14:textId="7A84907B" w:rsidR="005568FB" w:rsidRPr="005568FB" w:rsidRDefault="005568FB" w:rsidP="005568FB">
      <w:pPr>
        <w:spacing w:line="240" w:lineRule="auto"/>
      </w:pPr>
      <w:r w:rsidRPr="005568FB">
        <w:t xml:space="preserve">Craig Gundersen, </w:t>
      </w:r>
      <w:r w:rsidRPr="005568FB">
        <w:rPr>
          <w:b/>
          <w:bCs/>
        </w:rPr>
        <w:t>Jared D. Grant</w:t>
      </w:r>
      <w:r w:rsidRPr="005568FB">
        <w:t>, Jeffrey H. Dorfman. The Geography of Black-White Differences in Food Insecurity in the United States. (Under Review)</w:t>
      </w:r>
    </w:p>
    <w:p w14:paraId="5628B134" w14:textId="77777777" w:rsidR="005568FB" w:rsidRPr="005568FB" w:rsidRDefault="005568FB" w:rsidP="005568FB">
      <w:r w:rsidRPr="005568FB">
        <w:rPr>
          <w:b/>
          <w:bCs/>
        </w:rPr>
        <w:t>Steinbach, Sandro</w:t>
      </w:r>
      <w:r w:rsidRPr="005568FB">
        <w:t xml:space="preserve"> and Yasin Yildirim. (2024). “Diverging Trends in National and Local Market Concentration for Veterinary Services.” (In preparation for submission)</w:t>
      </w:r>
    </w:p>
    <w:p w14:paraId="722305BC" w14:textId="77777777" w:rsidR="005568FB" w:rsidRPr="005568FB" w:rsidRDefault="005568FB" w:rsidP="005568FB">
      <w:r w:rsidRPr="005568FB">
        <w:t xml:space="preserve">Jiang, </w:t>
      </w:r>
      <w:proofErr w:type="spellStart"/>
      <w:r w:rsidRPr="005568FB">
        <w:t>Qianxia</w:t>
      </w:r>
      <w:proofErr w:type="spellEnd"/>
      <w:r w:rsidRPr="005568FB">
        <w:rPr>
          <w:b/>
          <w:bCs/>
        </w:rPr>
        <w:t>, Steinbach, Sandro</w:t>
      </w:r>
      <w:r w:rsidRPr="005568FB">
        <w:t xml:space="preserve"> and Kristen Cooksey Stowers (2022). “Obesity for a Dollar: What a Bargain!” (In preparation for submission)</w:t>
      </w:r>
    </w:p>
    <w:p w14:paraId="3866D0A5" w14:textId="0925E7F8" w:rsidR="005568FB" w:rsidRPr="005568FB" w:rsidRDefault="005568FB" w:rsidP="005568FB">
      <w:pPr>
        <w:spacing w:line="240" w:lineRule="auto"/>
      </w:pPr>
      <w:r w:rsidRPr="005568FB">
        <w:t xml:space="preserve">Jeffrey H. Dorfman, </w:t>
      </w:r>
      <w:r w:rsidRPr="005568FB">
        <w:rPr>
          <w:b/>
          <w:bCs/>
        </w:rPr>
        <w:t>Jared D. Grant</w:t>
      </w:r>
      <w:r w:rsidRPr="005568FB">
        <w:t>, and Craig Gundersen. The Relative Strength of Relationships between Food Access Components and Food Insecurity. (In preparation for submission)</w:t>
      </w:r>
    </w:p>
    <w:p w14:paraId="02F627F0" w14:textId="0E40D8C2" w:rsidR="005568FB" w:rsidRPr="005568FB" w:rsidRDefault="005568FB" w:rsidP="005568FB">
      <w:pPr>
        <w:spacing w:line="240" w:lineRule="auto"/>
      </w:pPr>
      <w:r w:rsidRPr="005568FB">
        <w:rPr>
          <w:b/>
          <w:bCs/>
        </w:rPr>
        <w:t xml:space="preserve">Jared D. Grant </w:t>
      </w:r>
      <w:r w:rsidRPr="005568FB">
        <w:t xml:space="preserve">and Joel Cuffey. Equity in Access to SNAP Healthy Eating Incentives: Are </w:t>
      </w:r>
      <w:proofErr w:type="spellStart"/>
      <w:r w:rsidRPr="005568FB">
        <w:t>GusNIP</w:t>
      </w:r>
      <w:proofErr w:type="spellEnd"/>
      <w:r w:rsidRPr="005568FB">
        <w:t xml:space="preserve"> Retailers Located in Black Communities? (In preparation for submission)</w:t>
      </w:r>
    </w:p>
    <w:p w14:paraId="11A269D4" w14:textId="70AA1B0E" w:rsidR="005568FB" w:rsidRDefault="005568FB" w:rsidP="005568FB">
      <w:r w:rsidRPr="005568FB">
        <w:t xml:space="preserve">Zhao, Jiahui, Meng, Ziyi, Gordeev, Stepan, Pan, </w:t>
      </w:r>
      <w:proofErr w:type="spellStart"/>
      <w:r w:rsidRPr="005568FB">
        <w:t>Zijie</w:t>
      </w:r>
      <w:proofErr w:type="spellEnd"/>
      <w:r w:rsidRPr="005568FB">
        <w:t xml:space="preserve">, Song, Dongjin, </w:t>
      </w:r>
      <w:r w:rsidRPr="005568FB">
        <w:rPr>
          <w:b/>
          <w:bCs/>
        </w:rPr>
        <w:t>Steinbach, Sandro</w:t>
      </w:r>
      <w:r w:rsidRPr="005568FB">
        <w:t xml:space="preserve"> and </w:t>
      </w:r>
      <w:proofErr w:type="spellStart"/>
      <w:r w:rsidRPr="005568FB">
        <w:t>Caiwen</w:t>
      </w:r>
      <w:proofErr w:type="spellEnd"/>
      <w:r w:rsidRPr="005568FB">
        <w:t xml:space="preserve"> Ding (2023). “Key Information Retrieval to Classify the Unstructured Data Content of Preferential Trade Agreements,” </w:t>
      </w:r>
      <w:r w:rsidRPr="005568FB">
        <w:rPr>
          <w:i/>
          <w:iCs/>
        </w:rPr>
        <w:t>Proceedings of the Association for the Advancement of Artificial Intelligence AI4TS Workshop</w:t>
      </w:r>
      <w:r w:rsidRPr="005568FB">
        <w:t>, 1–5.</w:t>
      </w:r>
    </w:p>
    <w:p w14:paraId="5E74A8DE" w14:textId="77777777" w:rsidR="005568FB" w:rsidRPr="005568FB" w:rsidRDefault="005568FB" w:rsidP="005568FB"/>
    <w:p w14:paraId="388E5EB0" w14:textId="172AB77F" w:rsidR="005568FB" w:rsidRP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lastRenderedPageBreak/>
        <w:t>Book Chapters</w:t>
      </w:r>
    </w:p>
    <w:p w14:paraId="42A3C629" w14:textId="6C14548E" w:rsidR="005568FB" w:rsidRPr="005568FB" w:rsidRDefault="005568FB" w:rsidP="005568FB">
      <w:pPr>
        <w:spacing w:after="0" w:line="240" w:lineRule="auto"/>
      </w:pPr>
      <w:r w:rsidRPr="005568FB">
        <w:t xml:space="preserve">Nolan, Connor and </w:t>
      </w:r>
      <w:r w:rsidRPr="005568FB">
        <w:rPr>
          <w:b/>
          <w:bCs/>
        </w:rPr>
        <w:t>Steinbach, Sandro</w:t>
      </w:r>
      <w:r w:rsidRPr="005568FB">
        <w:t>. (2022). “Hungry for Antitrust Enforcement: Retail Discounters and</w:t>
      </w:r>
      <w:r>
        <w:t xml:space="preserve"> </w:t>
      </w:r>
      <w:r w:rsidRPr="005568FB">
        <w:t xml:space="preserve">Food Deserts in America,” Chapter in Reforming America’s Food Retail Markets, Editor: Austin </w:t>
      </w:r>
      <w:proofErr w:type="spellStart"/>
      <w:r w:rsidRPr="005568FB">
        <w:t>Frerick</w:t>
      </w:r>
      <w:proofErr w:type="spellEnd"/>
      <w:r w:rsidRPr="005568FB">
        <w:t>, Yale</w:t>
      </w:r>
      <w:r>
        <w:t xml:space="preserve"> </w:t>
      </w:r>
      <w:r w:rsidRPr="005568FB">
        <w:t>University.</w:t>
      </w:r>
    </w:p>
    <w:p w14:paraId="3AB82EA7" w14:textId="77777777" w:rsidR="005568FB" w:rsidRPr="005568FB" w:rsidRDefault="005568FB" w:rsidP="005568FB">
      <w:pPr>
        <w:spacing w:after="0" w:line="240" w:lineRule="auto"/>
      </w:pPr>
    </w:p>
    <w:p w14:paraId="1FF5F7FA" w14:textId="77777777" w:rsidR="005568FB" w:rsidRPr="005568FB" w:rsidRDefault="005568FB" w:rsidP="005568FB">
      <w:pPr>
        <w:spacing w:after="0" w:line="240" w:lineRule="auto"/>
      </w:pPr>
      <w:r w:rsidRPr="005568FB">
        <w:t xml:space="preserve">Jiang, </w:t>
      </w:r>
      <w:proofErr w:type="spellStart"/>
      <w:r w:rsidRPr="005568FB">
        <w:t>Qianxia</w:t>
      </w:r>
      <w:proofErr w:type="spellEnd"/>
      <w:r w:rsidRPr="005568FB">
        <w:t xml:space="preserve">, </w:t>
      </w:r>
      <w:r w:rsidRPr="005568FB">
        <w:rPr>
          <w:b/>
          <w:bCs/>
        </w:rPr>
        <w:t>Steinbach, Sandro</w:t>
      </w:r>
      <w:r w:rsidRPr="005568FB">
        <w:t xml:space="preserve"> and </w:t>
      </w:r>
      <w:proofErr w:type="spellStart"/>
      <w:r w:rsidRPr="005568FB">
        <w:t>and</w:t>
      </w:r>
      <w:proofErr w:type="spellEnd"/>
      <w:r w:rsidRPr="005568FB">
        <w:t xml:space="preserve"> Kristen Cooksey Stowers (2022). “An Empirical Assessment of Racial and Ethnic Inequities in Food Swamp Exposure and Food Retail Market Concentration,” Chapter in Reforming America’s Food Retail Markets, Editor: Austin </w:t>
      </w:r>
      <w:proofErr w:type="spellStart"/>
      <w:r w:rsidRPr="005568FB">
        <w:t>Frerick</w:t>
      </w:r>
      <w:proofErr w:type="spellEnd"/>
      <w:r w:rsidRPr="005568FB">
        <w:t>, Yale University.</w:t>
      </w:r>
    </w:p>
    <w:p w14:paraId="4EF2C44A" w14:textId="77777777" w:rsidR="005568FB" w:rsidRDefault="005568FB" w:rsidP="005568FB">
      <w:pPr>
        <w:rPr>
          <w:sz w:val="20"/>
          <w:szCs w:val="20"/>
        </w:rPr>
      </w:pPr>
    </w:p>
    <w:p w14:paraId="5670A217" w14:textId="37F3724E" w:rsid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Outreach and Technical Publications</w:t>
      </w:r>
    </w:p>
    <w:p w14:paraId="6B63A6E4" w14:textId="77777777" w:rsidR="005568FB" w:rsidRDefault="005568FB" w:rsidP="005568FB">
      <w:pPr>
        <w:spacing w:after="0" w:line="240" w:lineRule="auto"/>
      </w:pPr>
      <w:r w:rsidRPr="005568FB">
        <w:t xml:space="preserve">William </w:t>
      </w:r>
      <w:proofErr w:type="spellStart"/>
      <w:r w:rsidRPr="005568FB">
        <w:t>Nganje</w:t>
      </w:r>
      <w:proofErr w:type="spellEnd"/>
      <w:r w:rsidRPr="005568FB">
        <w:t xml:space="preserve">, </w:t>
      </w:r>
      <w:r w:rsidRPr="005568FB">
        <w:rPr>
          <w:b/>
          <w:bCs/>
        </w:rPr>
        <w:t>Steinbach, Sandro</w:t>
      </w:r>
      <w:r w:rsidRPr="005568FB">
        <w:t xml:space="preserve"> and Yasin Yildirim (2024). “Urgency for Enhanced Policy Intervention</w:t>
      </w:r>
      <w:r>
        <w:t xml:space="preserve"> </w:t>
      </w:r>
      <w:r w:rsidRPr="005568FB">
        <w:t xml:space="preserve">to Combat Avian Influenza in Dairy Cows,” </w:t>
      </w:r>
      <w:proofErr w:type="spellStart"/>
      <w:r w:rsidRPr="005568FB">
        <w:t>Farmdoc</w:t>
      </w:r>
      <w:proofErr w:type="spellEnd"/>
      <w:r w:rsidRPr="005568FB">
        <w:t xml:space="preserve"> Daily, (14): 95.</w:t>
      </w:r>
    </w:p>
    <w:p w14:paraId="02EB86DC" w14:textId="77777777" w:rsidR="005568FB" w:rsidRPr="005568FB" w:rsidRDefault="005568FB" w:rsidP="005568FB">
      <w:pPr>
        <w:spacing w:after="0" w:line="240" w:lineRule="auto"/>
      </w:pPr>
    </w:p>
    <w:p w14:paraId="4449989D" w14:textId="68AD52B4" w:rsidR="005568FB" w:rsidRDefault="005568FB" w:rsidP="005568FB">
      <w:pPr>
        <w:spacing w:after="0" w:line="240" w:lineRule="auto"/>
      </w:pPr>
      <w:r w:rsidRPr="005568FB">
        <w:t xml:space="preserve">Lopez, </w:t>
      </w:r>
      <w:proofErr w:type="gramStart"/>
      <w:r w:rsidRPr="005568FB">
        <w:t>Rigoberto,  Marchesi</w:t>
      </w:r>
      <w:proofErr w:type="gramEnd"/>
      <w:r w:rsidRPr="005568FB">
        <w:t xml:space="preserve">, Keenan and </w:t>
      </w:r>
      <w:r w:rsidRPr="005568FB">
        <w:rPr>
          <w:b/>
          <w:bCs/>
        </w:rPr>
        <w:t>Sandro Steinbach</w:t>
      </w:r>
      <w:r w:rsidRPr="005568FB">
        <w:t>. (2024). “Dollar Store Entry Affects Rural</w:t>
      </w:r>
      <w:r>
        <w:t xml:space="preserve"> </w:t>
      </w:r>
      <w:r w:rsidRPr="005568FB">
        <w:t>Grocery Stores More Than Urban,” USDA Amber Waves, May 6, 2024.</w:t>
      </w:r>
    </w:p>
    <w:p w14:paraId="3D35A59E" w14:textId="77777777" w:rsidR="005568FB" w:rsidRDefault="005568FB" w:rsidP="005568FB">
      <w:pPr>
        <w:spacing w:after="0" w:line="240" w:lineRule="auto"/>
      </w:pPr>
    </w:p>
    <w:p w14:paraId="7B7FFFDB" w14:textId="77777777" w:rsidR="005568FB" w:rsidRPr="005568FB" w:rsidRDefault="005568FB" w:rsidP="005568FB">
      <w:r w:rsidRPr="005568FB">
        <w:t xml:space="preserve">King, Martha and Sandro Steinbach. (2024). “How Global Trade and Innovation Shape the Future of Farming: Lessons from Golden Rice,” </w:t>
      </w:r>
      <w:r w:rsidRPr="005568FB">
        <w:rPr>
          <w:i/>
          <w:iCs/>
        </w:rPr>
        <w:t>GAP Report</w:t>
      </w:r>
      <w:r w:rsidRPr="005568FB">
        <w:t>, forthcoming.</w:t>
      </w:r>
    </w:p>
    <w:p w14:paraId="78876699" w14:textId="77777777" w:rsidR="005568FB" w:rsidRPr="005568FB" w:rsidRDefault="005568FB" w:rsidP="005568FB">
      <w:pPr>
        <w:spacing w:after="0" w:line="240" w:lineRule="auto"/>
      </w:pPr>
      <w:proofErr w:type="spellStart"/>
      <w:r w:rsidRPr="005568FB">
        <w:t>Fuglie</w:t>
      </w:r>
      <w:proofErr w:type="spellEnd"/>
      <w:r w:rsidRPr="005568FB">
        <w:t>, Burlin, Lim, Siew, Steinbach, Sandro and Mawuena Tome. (2024). “Unlocking Livestock</w:t>
      </w:r>
    </w:p>
    <w:p w14:paraId="7D77E71A" w14:textId="77777777" w:rsidR="005568FB" w:rsidRPr="005568FB" w:rsidRDefault="005568FB" w:rsidP="005568FB">
      <w:pPr>
        <w:spacing w:after="0" w:line="240" w:lineRule="auto"/>
      </w:pPr>
      <w:r w:rsidRPr="005568FB">
        <w:t xml:space="preserve">Opportunities for North Dakota Soybean Meal in Canada,” </w:t>
      </w:r>
      <w:r w:rsidRPr="005568FB">
        <w:rPr>
          <w:i/>
          <w:iCs/>
        </w:rPr>
        <w:t>CAPTS Report</w:t>
      </w:r>
      <w:r w:rsidRPr="005568FB">
        <w:t>, 2024-01.</w:t>
      </w:r>
    </w:p>
    <w:p w14:paraId="424F691B" w14:textId="77777777" w:rsidR="005568FB" w:rsidRDefault="005568FB" w:rsidP="005568FB">
      <w:pPr>
        <w:spacing w:after="0" w:line="240" w:lineRule="auto"/>
      </w:pPr>
    </w:p>
    <w:p w14:paraId="35D4EE3A" w14:textId="77777777" w:rsidR="005568FB" w:rsidRPr="005568FB" w:rsidRDefault="005568FB" w:rsidP="005568FB">
      <w:pPr>
        <w:spacing w:after="0" w:line="240" w:lineRule="auto"/>
      </w:pPr>
    </w:p>
    <w:p w14:paraId="7BC80F7E" w14:textId="2799916C" w:rsidR="005568FB" w:rsidRP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Presentations</w:t>
      </w:r>
    </w:p>
    <w:p w14:paraId="76D59BD4" w14:textId="496C9AE0" w:rsidR="005568FB" w:rsidRPr="005568FB" w:rsidRDefault="005568FB" w:rsidP="005568FB">
      <w:r w:rsidRPr="005568FB">
        <w:t xml:space="preserve">Gundersen, C, </w:t>
      </w:r>
      <w:r w:rsidRPr="005568FB">
        <w:rPr>
          <w:b/>
          <w:bCs/>
        </w:rPr>
        <w:t>J.D. Grant</w:t>
      </w:r>
      <w:r w:rsidRPr="005568FB">
        <w:t xml:space="preserve">, J.H. Dorfman, </w:t>
      </w:r>
      <w:proofErr w:type="gramStart"/>
      <w:r w:rsidRPr="005568FB">
        <w:t>“ The</w:t>
      </w:r>
      <w:proofErr w:type="gramEnd"/>
      <w:r w:rsidRPr="005568FB">
        <w:t xml:space="preserve"> Geography of Black-White Differences in Food Insecurity in the United States”, Paper presented at the Agricultural Economics Society Conference Edinburgh, Scotland, </w:t>
      </w:r>
      <w:proofErr w:type="gramStart"/>
      <w:r w:rsidRPr="005568FB">
        <w:t>March,</w:t>
      </w:r>
      <w:proofErr w:type="gramEnd"/>
      <w:r w:rsidRPr="005568FB">
        <w:t xml:space="preserve"> 2024.</w:t>
      </w:r>
    </w:p>
    <w:p w14:paraId="7D253643" w14:textId="60D2C81B" w:rsidR="005568FB" w:rsidRPr="005568FB" w:rsidRDefault="005568FB" w:rsidP="005568FB">
      <w:r w:rsidRPr="005568FB">
        <w:rPr>
          <w:b/>
          <w:bCs/>
        </w:rPr>
        <w:t>Grant, J. D</w:t>
      </w:r>
      <w:r w:rsidRPr="005568FB">
        <w:t xml:space="preserve">, “Survival Analysis of SNAP Allowable Retailers.” Paper presented at the SNAP Healthy Eating Incentives Workshop, Auburn, AL., </w:t>
      </w:r>
      <w:proofErr w:type="gramStart"/>
      <w:r w:rsidRPr="005568FB">
        <w:t>October,</w:t>
      </w:r>
      <w:proofErr w:type="gramEnd"/>
      <w:r w:rsidRPr="005568FB">
        <w:t xml:space="preserve"> 2023.</w:t>
      </w:r>
    </w:p>
    <w:p w14:paraId="5130DFA7" w14:textId="27C291D6" w:rsidR="005568FB" w:rsidRPr="005568FB" w:rsidRDefault="005568FB" w:rsidP="005568FB">
      <w:r w:rsidRPr="005568FB">
        <w:rPr>
          <w:b/>
          <w:bCs/>
        </w:rPr>
        <w:t>Gant, J. D</w:t>
      </w:r>
      <w:r w:rsidRPr="005568FB">
        <w:t xml:space="preserve">, “Moving Toward a Continuous Local Food Access Measure” Paper presented at the Agricultural and Applied Economics Association Meeting, Washington D.C., </w:t>
      </w:r>
      <w:proofErr w:type="gramStart"/>
      <w:r w:rsidRPr="005568FB">
        <w:t>July,</w:t>
      </w:r>
      <w:proofErr w:type="gramEnd"/>
      <w:r w:rsidRPr="005568FB">
        <w:t xml:space="preserve"> 2023.</w:t>
      </w:r>
    </w:p>
    <w:p w14:paraId="5B6C294F" w14:textId="723F4407" w:rsidR="005568FB" w:rsidRPr="005568FB" w:rsidRDefault="005568FB" w:rsidP="005568FB">
      <w:r w:rsidRPr="005568FB">
        <w:rPr>
          <w:rFonts w:eastAsia="Yu Gothic"/>
          <w:b/>
          <w:bCs/>
        </w:rPr>
        <w:t>Connolly, C</w:t>
      </w:r>
      <w:r w:rsidRPr="005568FB">
        <w:rPr>
          <w:rFonts w:eastAsia="Yu Gothic"/>
        </w:rPr>
        <w:t xml:space="preserve">., Graziano, M., </w:t>
      </w:r>
      <w:r w:rsidRPr="005568FB">
        <w:rPr>
          <w:rFonts w:eastAsia="Yu Gothic"/>
          <w:b/>
          <w:bCs/>
        </w:rPr>
        <w:t xml:space="preserve">Steinbach, S. </w:t>
      </w:r>
      <w:r w:rsidRPr="005568FB">
        <w:t>David versus Goliath: The Impact of Corporate Expansion in the Alcohol Retail Industry on Small-Scale Retailers. American Association of Wine Economists Annual Meeting, Lausanne CH, 2024.</w:t>
      </w:r>
    </w:p>
    <w:p w14:paraId="02AAB8DF" w14:textId="13111AAC" w:rsidR="005568FB" w:rsidRPr="005568FB" w:rsidRDefault="005568FB" w:rsidP="005568FB">
      <w:r w:rsidRPr="005568FB">
        <w:rPr>
          <w:rFonts w:eastAsia="Yu Gothic"/>
          <w:b/>
          <w:bCs/>
        </w:rPr>
        <w:t>Connolly, C.</w:t>
      </w:r>
      <w:r w:rsidRPr="005568FB">
        <w:rPr>
          <w:rFonts w:eastAsia="Yu Gothic"/>
        </w:rPr>
        <w:t xml:space="preserve">, Graziano, M., McDonnell, A., and </w:t>
      </w:r>
      <w:r w:rsidRPr="005568FB">
        <w:rPr>
          <w:rFonts w:eastAsia="Yu Gothic"/>
          <w:b/>
          <w:bCs/>
        </w:rPr>
        <w:t>Steinbach, S.</w:t>
      </w:r>
      <w:r w:rsidRPr="005568FB">
        <w:t xml:space="preserve"> The Competitive Interplay Between Chain and Independent Liquor Stores: The Connecticut Case. Wine Business Conference, Willimantic, 2024.</w:t>
      </w:r>
    </w:p>
    <w:p w14:paraId="5E3B6D3B" w14:textId="77777777" w:rsidR="005568FB" w:rsidRDefault="005568FB" w:rsidP="005568FB">
      <w:pPr>
        <w:rPr>
          <w:sz w:val="20"/>
          <w:szCs w:val="20"/>
        </w:rPr>
      </w:pPr>
    </w:p>
    <w:p w14:paraId="1A50F830" w14:textId="68A8DE1F" w:rsidR="005568FB" w:rsidRPr="005568FB" w:rsidRDefault="005568FB" w:rsidP="005568FB">
      <w:pPr>
        <w:pStyle w:val="Default"/>
        <w:rPr>
          <w:b/>
          <w:bCs/>
        </w:rPr>
      </w:pPr>
      <w:r>
        <w:rPr>
          <w:b/>
          <w:bCs/>
        </w:rPr>
        <w:t>Grants</w:t>
      </w:r>
    </w:p>
    <w:p w14:paraId="147B84EE" w14:textId="114479BA" w:rsidR="005568FB" w:rsidRPr="005568FB" w:rsidRDefault="005568FB" w:rsidP="005568FB">
      <w:pPr>
        <w:rPr>
          <w:rFonts w:cs="Times New Roman"/>
        </w:rPr>
      </w:pPr>
      <w:r w:rsidRPr="005568FB">
        <w:rPr>
          <w:rFonts w:cs="Times New Roman"/>
        </w:rPr>
        <w:t>USDA-NIFA, 2023, $650,000, PI</w:t>
      </w:r>
      <w:r>
        <w:rPr>
          <w:rFonts w:cs="Times New Roman"/>
        </w:rPr>
        <w:t xml:space="preserve">: </w:t>
      </w:r>
      <w:r w:rsidRPr="005568FB">
        <w:rPr>
          <w:rFonts w:cs="Times New Roman"/>
          <w:b/>
          <w:bCs/>
        </w:rPr>
        <w:t>Cristina Connolly</w:t>
      </w:r>
      <w:r w:rsidRPr="005568FB">
        <w:rPr>
          <w:rFonts w:cs="Times New Roman"/>
        </w:rPr>
        <w:t>, Project Name: “Consumer Choices and Behavior of Visitors to Farmers’ Markets: New Insights from Human Mobility Data and Artificial Intelligence”</w:t>
      </w:r>
    </w:p>
    <w:p w14:paraId="4A815B57" w14:textId="02B17496" w:rsidR="005568FB" w:rsidRPr="005568FB" w:rsidRDefault="005568FB" w:rsidP="005568FB">
      <w:pPr>
        <w:rPr>
          <w:rFonts w:cs="Times New Roman"/>
        </w:rPr>
      </w:pPr>
      <w:r w:rsidRPr="005568FB">
        <w:rPr>
          <w:rFonts w:cs="Times New Roman"/>
        </w:rPr>
        <w:lastRenderedPageBreak/>
        <w:t>NIFA Data Science for Food and Agricultural Systems, 2021, $1,000,000, PI</w:t>
      </w:r>
      <w:r>
        <w:rPr>
          <w:rFonts w:cs="Times New Roman"/>
        </w:rPr>
        <w:t xml:space="preserve">: </w:t>
      </w:r>
      <w:r w:rsidRPr="005568FB">
        <w:rPr>
          <w:rFonts w:cs="Times New Roman"/>
          <w:b/>
          <w:bCs/>
        </w:rPr>
        <w:t>Cristina Connolly</w:t>
      </w:r>
      <w:r w:rsidRPr="005568FB">
        <w:rPr>
          <w:rFonts w:cs="Times New Roman"/>
        </w:rPr>
        <w:t>, Project Name: “DSFAS-CIN: Harnessing Mobility Big Data and Artificial Intelligence Through a Transdisciplinary Research Network in Food Production, Processing, and Consumption Systems”</w:t>
      </w:r>
    </w:p>
    <w:p w14:paraId="43853FAD" w14:textId="77777777" w:rsidR="005568FB" w:rsidRDefault="005568FB" w:rsidP="005568FB">
      <w:pPr>
        <w:rPr>
          <w:sz w:val="20"/>
          <w:szCs w:val="20"/>
        </w:rPr>
      </w:pPr>
    </w:p>
    <w:sectPr w:rsidR="00556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B15423"/>
    <w:multiLevelType w:val="multilevel"/>
    <w:tmpl w:val="2224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E1788"/>
    <w:multiLevelType w:val="hybridMultilevel"/>
    <w:tmpl w:val="EBBAD906"/>
    <w:lvl w:ilvl="0" w:tplc="5F4C5498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874992">
    <w:abstractNumId w:val="1"/>
  </w:num>
  <w:num w:numId="2" w16cid:durableId="152196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8FB"/>
    <w:rsid w:val="00542F31"/>
    <w:rsid w:val="005568FB"/>
    <w:rsid w:val="00737726"/>
    <w:rsid w:val="00897046"/>
    <w:rsid w:val="00DF0FEB"/>
    <w:rsid w:val="00E00140"/>
    <w:rsid w:val="00E413FC"/>
    <w:rsid w:val="00E5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1F2A"/>
  <w15:chartTrackingRefBased/>
  <w15:docId w15:val="{35E25983-26EC-4348-A786-B1963CE3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FB"/>
  </w:style>
  <w:style w:type="paragraph" w:styleId="Heading1">
    <w:name w:val="heading 1"/>
    <w:basedOn w:val="Normal"/>
    <w:next w:val="Normal"/>
    <w:link w:val="Heading1Char"/>
    <w:uiPriority w:val="9"/>
    <w:qFormat/>
    <w:rsid w:val="00556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8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8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8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8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8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8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8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8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8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8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8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8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8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8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8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8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8F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5568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56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1141</Words>
  <Characters>6510</Characters>
  <Application>Microsoft Office Word</Application>
  <DocSecurity>0</DocSecurity>
  <Lines>54</Lines>
  <Paragraphs>15</Paragraphs>
  <ScaleCrop>false</ScaleCrop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Connolly, Cristina</dc:creator>
  <cp:keywords/>
  <dc:description/>
  <cp:lastModifiedBy>David Leibovitz</cp:lastModifiedBy>
  <cp:revision>2</cp:revision>
  <dcterms:created xsi:type="dcterms:W3CDTF">2025-05-03T03:34:00Z</dcterms:created>
  <dcterms:modified xsi:type="dcterms:W3CDTF">2025-05-03T03:34:00Z</dcterms:modified>
</cp:coreProperties>
</file>