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06902" w14:textId="77777777" w:rsidR="00FB3CF6" w:rsidRDefault="00FB3CF6" w:rsidP="00FB3CF6">
      <w:pPr>
        <w:pStyle w:val="Heading1"/>
        <w:spacing w:before="161" w:beforeAutospacing="0" w:after="161" w:afterAutospacing="0"/>
        <w:rPr>
          <w:rFonts w:ascii="Arial" w:eastAsia="Times New Roman" w:hAnsi="Arial" w:cs="Arial"/>
          <w:b w:val="0"/>
          <w:bCs w:val="0"/>
          <w:color w:val="4B4441"/>
        </w:rPr>
      </w:pPr>
      <w:r>
        <w:rPr>
          <w:rFonts w:ascii="Arial" w:eastAsia="Times New Roman" w:hAnsi="Arial" w:cs="Arial"/>
          <w:b w:val="0"/>
          <w:bCs w:val="0"/>
          <w:color w:val="4B4441"/>
        </w:rPr>
        <w:t>Issues and Justification</w:t>
      </w:r>
    </w:p>
    <w:p w14:paraId="2CC8C26F" w14:textId="77777777" w:rsidR="006701DE" w:rsidRPr="006701DE" w:rsidRDefault="006701DE" w:rsidP="006701DE">
      <w:pPr>
        <w:shd w:val="clear" w:color="auto" w:fill="FFFFFF"/>
        <w:spacing w:before="240" w:after="240" w:line="240" w:lineRule="auto"/>
        <w:rPr>
          <w:rFonts w:ascii="Open Sans" w:eastAsia="Times New Roman" w:hAnsi="Open Sans" w:cs="Open Sans"/>
          <w:color w:val="808080" w:themeColor="background1" w:themeShade="80"/>
          <w:sz w:val="18"/>
          <w:szCs w:val="18"/>
        </w:rPr>
      </w:pPr>
      <w:r w:rsidRPr="006701DE">
        <w:rPr>
          <w:rFonts w:ascii="Open Sans" w:eastAsia="Times New Roman" w:hAnsi="Open Sans" w:cs="Open Sans"/>
          <w:color w:val="808080" w:themeColor="background1" w:themeShade="80"/>
          <w:sz w:val="18"/>
          <w:szCs w:val="18"/>
        </w:rPr>
        <w:t>Statement of the issues and Justification: This section should explain why the work needs to be done, and it should include statements on the following points:</w:t>
      </w:r>
    </w:p>
    <w:p w14:paraId="2CD7EDD9" w14:textId="77777777" w:rsidR="006701DE" w:rsidRPr="006701DE" w:rsidRDefault="006701DE" w:rsidP="006701DE">
      <w:pPr>
        <w:numPr>
          <w:ilvl w:val="0"/>
          <w:numId w:val="3"/>
        </w:numPr>
        <w:shd w:val="clear" w:color="auto" w:fill="FFFFFF"/>
        <w:spacing w:before="100" w:beforeAutospacing="1" w:after="100" w:afterAutospacing="1" w:line="240" w:lineRule="auto"/>
        <w:rPr>
          <w:rFonts w:ascii="Open Sans" w:eastAsia="Times New Roman" w:hAnsi="Open Sans" w:cs="Open Sans"/>
          <w:color w:val="808080" w:themeColor="background1" w:themeShade="80"/>
          <w:sz w:val="18"/>
          <w:szCs w:val="18"/>
        </w:rPr>
      </w:pPr>
      <w:r w:rsidRPr="006701DE">
        <w:rPr>
          <w:rFonts w:ascii="Open Sans" w:eastAsia="Times New Roman" w:hAnsi="Open Sans" w:cs="Open Sans"/>
          <w:color w:val="808080" w:themeColor="background1" w:themeShade="80"/>
          <w:sz w:val="18"/>
          <w:szCs w:val="18"/>
        </w:rPr>
        <w:t>The need as indicated by stakeholders.</w:t>
      </w:r>
    </w:p>
    <w:p w14:paraId="72CC6948" w14:textId="77777777" w:rsidR="006701DE" w:rsidRPr="006701DE" w:rsidRDefault="006701DE" w:rsidP="006701DE">
      <w:pPr>
        <w:numPr>
          <w:ilvl w:val="0"/>
          <w:numId w:val="3"/>
        </w:numPr>
        <w:shd w:val="clear" w:color="auto" w:fill="FFFFFF"/>
        <w:spacing w:before="100" w:beforeAutospacing="1" w:after="100" w:afterAutospacing="1" w:line="240" w:lineRule="auto"/>
        <w:rPr>
          <w:rFonts w:ascii="Open Sans" w:eastAsia="Times New Roman" w:hAnsi="Open Sans" w:cs="Open Sans"/>
          <w:color w:val="808080" w:themeColor="background1" w:themeShade="80"/>
          <w:sz w:val="18"/>
          <w:szCs w:val="18"/>
        </w:rPr>
      </w:pPr>
      <w:r w:rsidRPr="006701DE">
        <w:rPr>
          <w:rFonts w:ascii="Open Sans" w:eastAsia="Times New Roman" w:hAnsi="Open Sans" w:cs="Open Sans"/>
          <w:color w:val="808080" w:themeColor="background1" w:themeShade="80"/>
          <w:sz w:val="18"/>
          <w:szCs w:val="18"/>
        </w:rPr>
        <w:t>The importance of the work, and what the consequences are if it is not done.</w:t>
      </w:r>
    </w:p>
    <w:p w14:paraId="26EFEBFD" w14:textId="77777777" w:rsidR="006701DE" w:rsidRPr="006701DE" w:rsidRDefault="006701DE" w:rsidP="006701DE">
      <w:pPr>
        <w:numPr>
          <w:ilvl w:val="0"/>
          <w:numId w:val="3"/>
        </w:numPr>
        <w:shd w:val="clear" w:color="auto" w:fill="FFFFFF"/>
        <w:spacing w:before="100" w:beforeAutospacing="1" w:after="100" w:afterAutospacing="1" w:line="240" w:lineRule="auto"/>
        <w:rPr>
          <w:rFonts w:ascii="Open Sans" w:eastAsia="Times New Roman" w:hAnsi="Open Sans" w:cs="Open Sans"/>
          <w:color w:val="808080" w:themeColor="background1" w:themeShade="80"/>
          <w:sz w:val="18"/>
          <w:szCs w:val="18"/>
        </w:rPr>
      </w:pPr>
      <w:r w:rsidRPr="006701DE">
        <w:rPr>
          <w:rFonts w:ascii="Open Sans" w:eastAsia="Times New Roman" w:hAnsi="Open Sans" w:cs="Open Sans"/>
          <w:color w:val="808080" w:themeColor="background1" w:themeShade="80"/>
          <w:sz w:val="18"/>
          <w:szCs w:val="18"/>
        </w:rPr>
        <w:t>The technical feasibility of the research.</w:t>
      </w:r>
    </w:p>
    <w:p w14:paraId="5D3D1410" w14:textId="77777777" w:rsidR="006701DE" w:rsidRPr="006701DE" w:rsidRDefault="006701DE" w:rsidP="006701DE">
      <w:pPr>
        <w:numPr>
          <w:ilvl w:val="0"/>
          <w:numId w:val="3"/>
        </w:numPr>
        <w:shd w:val="clear" w:color="auto" w:fill="FFFFFF"/>
        <w:spacing w:before="100" w:beforeAutospacing="1" w:after="100" w:afterAutospacing="1" w:line="240" w:lineRule="auto"/>
        <w:rPr>
          <w:rFonts w:ascii="Open Sans" w:eastAsia="Times New Roman" w:hAnsi="Open Sans" w:cs="Open Sans"/>
          <w:color w:val="808080" w:themeColor="background1" w:themeShade="80"/>
          <w:sz w:val="18"/>
          <w:szCs w:val="18"/>
        </w:rPr>
      </w:pPr>
      <w:r w:rsidRPr="006701DE">
        <w:rPr>
          <w:rFonts w:ascii="Open Sans" w:eastAsia="Times New Roman" w:hAnsi="Open Sans" w:cs="Open Sans"/>
          <w:color w:val="808080" w:themeColor="background1" w:themeShade="80"/>
          <w:sz w:val="18"/>
          <w:szCs w:val="18"/>
        </w:rPr>
        <w:t>The advantages for doing the work as a multistate effort.</w:t>
      </w:r>
    </w:p>
    <w:p w14:paraId="0B378AC6" w14:textId="77777777" w:rsidR="006701DE" w:rsidRPr="006701DE" w:rsidRDefault="006701DE" w:rsidP="006701DE">
      <w:pPr>
        <w:numPr>
          <w:ilvl w:val="0"/>
          <w:numId w:val="3"/>
        </w:numPr>
        <w:shd w:val="clear" w:color="auto" w:fill="FFFFFF"/>
        <w:spacing w:before="100" w:beforeAutospacing="1" w:after="100" w:afterAutospacing="1" w:line="240" w:lineRule="auto"/>
        <w:rPr>
          <w:rFonts w:ascii="Open Sans" w:eastAsia="Times New Roman" w:hAnsi="Open Sans" w:cs="Open Sans"/>
          <w:color w:val="808080" w:themeColor="background1" w:themeShade="80"/>
          <w:sz w:val="18"/>
          <w:szCs w:val="18"/>
        </w:rPr>
      </w:pPr>
      <w:r w:rsidRPr="006701DE">
        <w:rPr>
          <w:rFonts w:ascii="Open Sans" w:eastAsia="Times New Roman" w:hAnsi="Open Sans" w:cs="Open Sans"/>
          <w:color w:val="808080" w:themeColor="background1" w:themeShade="80"/>
          <w:sz w:val="18"/>
          <w:szCs w:val="18"/>
        </w:rPr>
        <w:t>What the likely impacts will be from successfully completing the work.</w:t>
      </w:r>
    </w:p>
    <w:p w14:paraId="794C539B" w14:textId="77777777" w:rsidR="00FB3CF6" w:rsidRDefault="00FB3CF6" w:rsidP="001A0CCE">
      <w:pPr>
        <w:pStyle w:val="Default"/>
        <w:rPr>
          <w:b/>
          <w:bCs/>
          <w:sz w:val="23"/>
          <w:szCs w:val="23"/>
        </w:rPr>
      </w:pPr>
    </w:p>
    <w:p w14:paraId="30BF1425" w14:textId="7FD9DAD8" w:rsidR="001A0CCE" w:rsidRDefault="001A0CCE" w:rsidP="001A0CCE">
      <w:pPr>
        <w:pStyle w:val="Default"/>
        <w:rPr>
          <w:sz w:val="23"/>
          <w:szCs w:val="23"/>
        </w:rPr>
      </w:pPr>
      <w:r>
        <w:rPr>
          <w:b/>
          <w:bCs/>
          <w:sz w:val="23"/>
          <w:szCs w:val="23"/>
        </w:rPr>
        <w:t xml:space="preserve">Background </w:t>
      </w:r>
    </w:p>
    <w:p w14:paraId="1F62CF44" w14:textId="79EF24C2" w:rsidR="00FB3CF6" w:rsidRPr="00563766" w:rsidRDefault="00FB3CF6" w:rsidP="001A0CCE">
      <w:pPr>
        <w:rPr>
          <w:rFonts w:cstheme="minorHAnsi"/>
        </w:rPr>
      </w:pPr>
      <w:r>
        <w:t xml:space="preserve">Unlike crops, which have been selected for uniform emergence, weed species have evolved variability in </w:t>
      </w:r>
      <w:r w:rsidR="00A54E5F">
        <w:t xml:space="preserve">their emergence </w:t>
      </w:r>
      <w:r>
        <w:t>timing</w:t>
      </w:r>
      <w:r w:rsidR="00F47349">
        <w:t>. E</w:t>
      </w:r>
      <w:r>
        <w:t xml:space="preserve">ven seeds maturing on the same plant may germinate at different times. This “bet-hedging” strategy, with which a weed avoids putting all its “seed in one basket” of emergence timing, enables weeds to escape control measures. Post-emergence management carried out too early will yield low returns for the effort, investment, and ecological cost of the management (herbicide off-target effects, soil compaction, etc.), as weed seeds that have yet to germinate are often unaffected. </w:t>
      </w:r>
      <w:r w:rsidR="00A170CD">
        <w:t>On the other hand</w:t>
      </w:r>
      <w:r w:rsidR="0064392D">
        <w:t xml:space="preserve">, </w:t>
      </w:r>
      <w:r w:rsidR="00D97BFF">
        <w:t>most weed management tactics such as post-emergent herbicides and cultivation are most effective when weeds are small, at or near the seedling stage (</w:t>
      </w:r>
      <w:proofErr w:type="spellStart"/>
      <w:r w:rsidR="00D97BFF">
        <w:t>Norsworthy</w:t>
      </w:r>
      <w:proofErr w:type="spellEnd"/>
      <w:r w:rsidR="00D97BFF">
        <w:t xml:space="preserve"> et al. 2012). Therefore, </w:t>
      </w:r>
      <w:r w:rsidR="0064392D" w:rsidRPr="00563766">
        <w:rPr>
          <w:rFonts w:cstheme="minorHAnsi"/>
        </w:rPr>
        <w:t xml:space="preserve">delayed management </w:t>
      </w:r>
      <w:r w:rsidR="00A170CD" w:rsidRPr="00563766">
        <w:rPr>
          <w:rFonts w:cstheme="minorHAnsi"/>
        </w:rPr>
        <w:t xml:space="preserve">operations </w:t>
      </w:r>
      <w:r w:rsidR="0064392D" w:rsidRPr="00563766">
        <w:rPr>
          <w:rFonts w:cstheme="minorHAnsi"/>
        </w:rPr>
        <w:t xml:space="preserve">may result in reduced </w:t>
      </w:r>
      <w:r w:rsidR="00A170CD" w:rsidRPr="00563766">
        <w:rPr>
          <w:rFonts w:cstheme="minorHAnsi"/>
        </w:rPr>
        <w:t>weed control efficacy and greater yield loss</w:t>
      </w:r>
      <w:r w:rsidR="00B42DEF" w:rsidRPr="00563766">
        <w:rPr>
          <w:rFonts w:cstheme="minorHAnsi"/>
        </w:rPr>
        <w:t xml:space="preserve"> (Davis 2006)</w:t>
      </w:r>
      <w:r w:rsidR="00A170CD" w:rsidRPr="00563766">
        <w:rPr>
          <w:rFonts w:cstheme="minorHAnsi"/>
        </w:rPr>
        <w:t>.</w:t>
      </w:r>
      <w:r w:rsidR="004E40BC" w:rsidRPr="00563766">
        <w:rPr>
          <w:rFonts w:cstheme="minorHAnsi"/>
        </w:rPr>
        <w:t xml:space="preserve"> </w:t>
      </w:r>
      <w:r w:rsidR="00F47349" w:rsidRPr="00563766">
        <w:rPr>
          <w:rFonts w:cstheme="minorHAnsi"/>
        </w:rPr>
        <w:t xml:space="preserve">Thus, </w:t>
      </w:r>
      <w:r w:rsidR="00D11832" w:rsidRPr="00563766">
        <w:rPr>
          <w:rFonts w:cstheme="minorHAnsi"/>
        </w:rPr>
        <w:t xml:space="preserve">weed </w:t>
      </w:r>
      <w:r w:rsidR="00F47349" w:rsidRPr="00563766">
        <w:rPr>
          <w:rFonts w:cstheme="minorHAnsi"/>
        </w:rPr>
        <w:t>m</w:t>
      </w:r>
      <w:r w:rsidR="00406228" w:rsidRPr="00563766">
        <w:rPr>
          <w:rFonts w:cstheme="minorHAnsi"/>
        </w:rPr>
        <w:t xml:space="preserve">anagement should </w:t>
      </w:r>
      <w:r w:rsidR="00F47349" w:rsidRPr="00563766">
        <w:rPr>
          <w:rFonts w:cstheme="minorHAnsi"/>
        </w:rPr>
        <w:t xml:space="preserve">be </w:t>
      </w:r>
      <w:r w:rsidR="00406228" w:rsidRPr="00563766">
        <w:rPr>
          <w:rFonts w:cstheme="minorHAnsi"/>
        </w:rPr>
        <w:t xml:space="preserve">timed to occur soon after </w:t>
      </w:r>
      <w:r w:rsidR="00B42DEF" w:rsidRPr="00563766">
        <w:rPr>
          <w:rFonts w:cstheme="minorHAnsi"/>
        </w:rPr>
        <w:t xml:space="preserve">the </w:t>
      </w:r>
      <w:r w:rsidR="00406228" w:rsidRPr="00563766">
        <w:rPr>
          <w:rFonts w:cstheme="minorHAnsi"/>
        </w:rPr>
        <w:t>emergence of</w:t>
      </w:r>
      <w:r w:rsidR="00D11832" w:rsidRPr="00563766">
        <w:rPr>
          <w:rFonts w:cstheme="minorHAnsi"/>
        </w:rPr>
        <w:t xml:space="preserve"> most</w:t>
      </w:r>
      <w:r w:rsidR="00406228" w:rsidRPr="00563766">
        <w:rPr>
          <w:rFonts w:cstheme="minorHAnsi"/>
        </w:rPr>
        <w:t xml:space="preserve"> problem weeds. </w:t>
      </w:r>
      <w:r w:rsidR="004E40BC" w:rsidRPr="00563766">
        <w:rPr>
          <w:rFonts w:cstheme="minorHAnsi"/>
        </w:rPr>
        <w:t xml:space="preserve"> </w:t>
      </w:r>
    </w:p>
    <w:p w14:paraId="204ACB12" w14:textId="4C94162A" w:rsidR="00FB3CF6" w:rsidRPr="00EC419C" w:rsidRDefault="00B42DEF" w:rsidP="00FB3CF6">
      <w:pPr>
        <w:pStyle w:val="Default"/>
        <w:rPr>
          <w:rFonts w:asciiTheme="minorHAnsi" w:hAnsiTheme="minorHAnsi" w:cstheme="minorHAnsi"/>
          <w:sz w:val="23"/>
          <w:szCs w:val="23"/>
        </w:rPr>
      </w:pPr>
      <w:r w:rsidRPr="00EC419C">
        <w:rPr>
          <w:rFonts w:asciiTheme="minorHAnsi" w:hAnsiTheme="minorHAnsi" w:cstheme="minorHAnsi"/>
        </w:rPr>
        <w:t>The timing of w</w:t>
      </w:r>
      <w:r w:rsidR="00FB3CF6" w:rsidRPr="00EC419C">
        <w:rPr>
          <w:rFonts w:asciiTheme="minorHAnsi" w:hAnsiTheme="minorHAnsi" w:cstheme="minorHAnsi"/>
        </w:rPr>
        <w:t xml:space="preserve">eed emergence </w:t>
      </w:r>
      <w:r w:rsidR="00E3701C" w:rsidRPr="00EC419C">
        <w:rPr>
          <w:rFonts w:asciiTheme="minorHAnsi" w:hAnsiTheme="minorHAnsi" w:cstheme="minorHAnsi"/>
        </w:rPr>
        <w:t>is not easy to predict because it reflects</w:t>
      </w:r>
      <w:r w:rsidR="00FB3CF6" w:rsidRPr="00EC419C">
        <w:rPr>
          <w:rFonts w:asciiTheme="minorHAnsi" w:hAnsiTheme="minorHAnsi" w:cstheme="minorHAnsi"/>
        </w:rPr>
        <w:t xml:space="preserve"> a multitude of species-specific parameters </w:t>
      </w:r>
      <w:r w:rsidR="00A13D28" w:rsidRPr="00EC419C">
        <w:rPr>
          <w:rFonts w:asciiTheme="minorHAnsi" w:hAnsiTheme="minorHAnsi" w:cstheme="minorHAnsi"/>
        </w:rPr>
        <w:t>(e.g.,</w:t>
      </w:r>
      <w:r w:rsidR="00FB3CF6" w:rsidRPr="00EC419C">
        <w:rPr>
          <w:rFonts w:asciiTheme="minorHAnsi" w:hAnsiTheme="minorHAnsi" w:cstheme="minorHAnsi"/>
        </w:rPr>
        <w:t xml:space="preserve"> base temperature, base water potential) and environmental </w:t>
      </w:r>
      <w:r w:rsidR="00A13D28" w:rsidRPr="00EC419C">
        <w:rPr>
          <w:rFonts w:asciiTheme="minorHAnsi" w:hAnsiTheme="minorHAnsi" w:cstheme="minorHAnsi"/>
        </w:rPr>
        <w:t xml:space="preserve">factors </w:t>
      </w:r>
      <w:r w:rsidR="00FB3CF6" w:rsidRPr="00EC419C">
        <w:rPr>
          <w:rFonts w:asciiTheme="minorHAnsi" w:hAnsiTheme="minorHAnsi" w:cstheme="minorHAnsi"/>
        </w:rPr>
        <w:t>(e.g.</w:t>
      </w:r>
      <w:r w:rsidR="00A13D28" w:rsidRPr="00EC419C">
        <w:rPr>
          <w:rFonts w:asciiTheme="minorHAnsi" w:hAnsiTheme="minorHAnsi" w:cstheme="minorHAnsi"/>
        </w:rPr>
        <w:t>,</w:t>
      </w:r>
      <w:r w:rsidR="00FB3CF6" w:rsidRPr="00EC419C">
        <w:rPr>
          <w:rFonts w:asciiTheme="minorHAnsi" w:hAnsiTheme="minorHAnsi" w:cstheme="minorHAnsi"/>
        </w:rPr>
        <w:t xml:space="preserve"> soil temperature and moisture).</w:t>
      </w:r>
      <w:r w:rsidR="00FB3CF6" w:rsidRPr="00EC419C">
        <w:rPr>
          <w:rFonts w:asciiTheme="minorHAnsi" w:hAnsiTheme="minorHAnsi" w:cstheme="minorHAnsi"/>
          <w:i/>
          <w:iCs/>
          <w:sz w:val="23"/>
          <w:szCs w:val="23"/>
        </w:rPr>
        <w:t xml:space="preserve"> </w:t>
      </w:r>
      <w:r w:rsidR="00FB3CF6" w:rsidRPr="00EC419C">
        <w:rPr>
          <w:rFonts w:asciiTheme="minorHAnsi" w:hAnsiTheme="minorHAnsi" w:cstheme="minorHAnsi"/>
          <w:sz w:val="23"/>
          <w:szCs w:val="23"/>
        </w:rPr>
        <w:t xml:space="preserve">While </w:t>
      </w:r>
      <w:r w:rsidR="00A13D28" w:rsidRPr="00EC419C">
        <w:rPr>
          <w:rFonts w:asciiTheme="minorHAnsi" w:hAnsiTheme="minorHAnsi" w:cstheme="minorHAnsi"/>
          <w:sz w:val="23"/>
          <w:szCs w:val="23"/>
        </w:rPr>
        <w:t xml:space="preserve">many weedy species </w:t>
      </w:r>
      <w:r w:rsidR="00852848" w:rsidRPr="00EC419C">
        <w:rPr>
          <w:rFonts w:asciiTheme="minorHAnsi" w:hAnsiTheme="minorHAnsi" w:cstheme="minorHAnsi"/>
          <w:sz w:val="23"/>
          <w:szCs w:val="23"/>
        </w:rPr>
        <w:t>can</w:t>
      </w:r>
      <w:r w:rsidR="00FB3CF6" w:rsidRPr="00EC419C">
        <w:rPr>
          <w:rFonts w:asciiTheme="minorHAnsi" w:hAnsiTheme="minorHAnsi" w:cstheme="minorHAnsi"/>
          <w:sz w:val="23"/>
          <w:szCs w:val="23"/>
        </w:rPr>
        <w:t xml:space="preserve"> germinate under a broad range of environmental conditions </w:t>
      </w:r>
      <w:r w:rsidR="004259D4" w:rsidRPr="00EC419C">
        <w:rPr>
          <w:rFonts w:asciiTheme="minorHAnsi" w:hAnsiTheme="minorHAnsi" w:cstheme="minorHAnsi"/>
          <w:sz w:val="23"/>
          <w:szCs w:val="23"/>
        </w:rPr>
        <w:t>(Baker 1974)</w:t>
      </w:r>
      <w:r w:rsidR="00FB3CF6" w:rsidRPr="00EC419C">
        <w:rPr>
          <w:rFonts w:asciiTheme="minorHAnsi" w:hAnsiTheme="minorHAnsi" w:cstheme="minorHAnsi"/>
          <w:sz w:val="23"/>
          <w:szCs w:val="23"/>
        </w:rPr>
        <w:t>,</w:t>
      </w:r>
      <w:r w:rsidR="00EC75C1" w:rsidRPr="00EC419C">
        <w:rPr>
          <w:rFonts w:asciiTheme="minorHAnsi" w:hAnsiTheme="minorHAnsi" w:cstheme="minorHAnsi"/>
          <w:sz w:val="23"/>
          <w:szCs w:val="23"/>
        </w:rPr>
        <w:t xml:space="preserve"> </w:t>
      </w:r>
      <w:r w:rsidR="0065626C" w:rsidRPr="00EC419C">
        <w:rPr>
          <w:rFonts w:asciiTheme="minorHAnsi" w:hAnsiTheme="minorHAnsi" w:cstheme="minorHAnsi"/>
          <w:sz w:val="23"/>
          <w:szCs w:val="23"/>
        </w:rPr>
        <w:t>w</w:t>
      </w:r>
      <w:r w:rsidR="00FB3CF6" w:rsidRPr="00EC419C">
        <w:rPr>
          <w:rFonts w:asciiTheme="minorHAnsi" w:hAnsiTheme="minorHAnsi" w:cstheme="minorHAnsi"/>
          <w:sz w:val="23"/>
          <w:szCs w:val="23"/>
        </w:rPr>
        <w:t>eeds in most agricultural systems have evolved to germinate when the appropriate microenvironmental cues are detected [</w:t>
      </w:r>
      <w:r w:rsidR="00EF0FC9" w:rsidRPr="00EC419C">
        <w:rPr>
          <w:rFonts w:asciiTheme="minorHAnsi" w:hAnsiTheme="minorHAnsi" w:cstheme="minorHAnsi"/>
          <w:sz w:val="23"/>
          <w:szCs w:val="23"/>
        </w:rPr>
        <w:t>Long et al 2016</w:t>
      </w:r>
      <w:r w:rsidR="00FB3CF6" w:rsidRPr="00EC419C">
        <w:rPr>
          <w:rFonts w:asciiTheme="minorHAnsi" w:hAnsiTheme="minorHAnsi" w:cstheme="minorHAnsi"/>
          <w:sz w:val="23"/>
          <w:szCs w:val="23"/>
        </w:rPr>
        <w:t xml:space="preserve">] to maximize </w:t>
      </w:r>
      <w:r w:rsidR="0065626C" w:rsidRPr="00EC419C">
        <w:rPr>
          <w:rFonts w:asciiTheme="minorHAnsi" w:hAnsiTheme="minorHAnsi" w:cstheme="minorHAnsi"/>
          <w:sz w:val="23"/>
          <w:szCs w:val="23"/>
        </w:rPr>
        <w:t>fitness</w:t>
      </w:r>
      <w:r w:rsidR="00FB3CF6" w:rsidRPr="00EC419C">
        <w:rPr>
          <w:rFonts w:asciiTheme="minorHAnsi" w:hAnsiTheme="minorHAnsi" w:cstheme="minorHAnsi"/>
          <w:sz w:val="23"/>
          <w:szCs w:val="23"/>
        </w:rPr>
        <w:t xml:space="preserve"> during favorable environmental conditions [</w:t>
      </w:r>
      <w:r w:rsidR="00EF0FC9" w:rsidRPr="00EC419C">
        <w:rPr>
          <w:rFonts w:asciiTheme="minorHAnsi" w:hAnsiTheme="minorHAnsi" w:cstheme="minorHAnsi"/>
          <w:sz w:val="23"/>
          <w:szCs w:val="23"/>
        </w:rPr>
        <w:t>Grime 1977</w:t>
      </w:r>
      <w:r w:rsidR="00FB3CF6" w:rsidRPr="00EC419C">
        <w:rPr>
          <w:rFonts w:asciiTheme="minorHAnsi" w:hAnsiTheme="minorHAnsi" w:cstheme="minorHAnsi"/>
          <w:sz w:val="23"/>
          <w:szCs w:val="23"/>
        </w:rPr>
        <w:t xml:space="preserve">]. </w:t>
      </w:r>
      <w:r w:rsidR="0065626C" w:rsidRPr="00EC419C">
        <w:rPr>
          <w:rFonts w:asciiTheme="minorHAnsi" w:hAnsiTheme="minorHAnsi" w:cstheme="minorHAnsi"/>
          <w:sz w:val="23"/>
          <w:szCs w:val="23"/>
        </w:rPr>
        <w:t xml:space="preserve">Weed </w:t>
      </w:r>
      <w:r w:rsidR="00FB3CF6" w:rsidRPr="00EC419C">
        <w:rPr>
          <w:rFonts w:asciiTheme="minorHAnsi" w:hAnsiTheme="minorHAnsi" w:cstheme="minorHAnsi"/>
          <w:sz w:val="23"/>
          <w:szCs w:val="23"/>
        </w:rPr>
        <w:t xml:space="preserve">growth, competitiveness, and fecundity </w:t>
      </w:r>
      <w:r w:rsidR="00427C6D" w:rsidRPr="00EC419C">
        <w:rPr>
          <w:rFonts w:asciiTheme="minorHAnsi" w:hAnsiTheme="minorHAnsi" w:cstheme="minorHAnsi"/>
          <w:sz w:val="23"/>
          <w:szCs w:val="23"/>
        </w:rPr>
        <w:t>are</w:t>
      </w:r>
      <w:r w:rsidR="00FB3CF6" w:rsidRPr="00EC419C">
        <w:rPr>
          <w:rFonts w:asciiTheme="minorHAnsi" w:hAnsiTheme="minorHAnsi" w:cstheme="minorHAnsi"/>
          <w:sz w:val="23"/>
          <w:szCs w:val="23"/>
        </w:rPr>
        <w:t xml:space="preserve"> strongly influenced by emergence timing relative to the crop [</w:t>
      </w:r>
      <w:r w:rsidR="00EF0FC9" w:rsidRPr="00EC419C">
        <w:rPr>
          <w:rFonts w:asciiTheme="minorHAnsi" w:hAnsiTheme="minorHAnsi" w:cstheme="minorHAnsi"/>
          <w:sz w:val="23"/>
          <w:szCs w:val="23"/>
        </w:rPr>
        <w:t>Hartzler et al 2004, Wu et al 2014</w:t>
      </w:r>
      <w:r w:rsidR="00FB3CF6" w:rsidRPr="00EC419C">
        <w:rPr>
          <w:rFonts w:asciiTheme="minorHAnsi" w:hAnsiTheme="minorHAnsi" w:cstheme="minorHAnsi"/>
          <w:sz w:val="23"/>
          <w:szCs w:val="23"/>
        </w:rPr>
        <w:t xml:space="preserve">]. </w:t>
      </w:r>
      <w:r w:rsidR="00E2500D" w:rsidRPr="00EC419C">
        <w:rPr>
          <w:rFonts w:asciiTheme="minorHAnsi" w:hAnsiTheme="minorHAnsi" w:cstheme="minorHAnsi"/>
          <w:sz w:val="23"/>
          <w:szCs w:val="23"/>
        </w:rPr>
        <w:t>T</w:t>
      </w:r>
      <w:r w:rsidR="0065626C" w:rsidRPr="00EC419C">
        <w:rPr>
          <w:rFonts w:asciiTheme="minorHAnsi" w:hAnsiTheme="minorHAnsi" w:cstheme="minorHAnsi"/>
          <w:sz w:val="23"/>
          <w:szCs w:val="23"/>
        </w:rPr>
        <w:t xml:space="preserve">emperature is a </w:t>
      </w:r>
      <w:r w:rsidR="00E2500D" w:rsidRPr="00EC419C">
        <w:rPr>
          <w:rFonts w:asciiTheme="minorHAnsi" w:hAnsiTheme="minorHAnsi" w:cstheme="minorHAnsi"/>
          <w:sz w:val="23"/>
          <w:szCs w:val="23"/>
        </w:rPr>
        <w:t xml:space="preserve">particularly </w:t>
      </w:r>
      <w:r w:rsidR="0065626C" w:rsidRPr="00EC419C">
        <w:rPr>
          <w:rFonts w:asciiTheme="minorHAnsi" w:hAnsiTheme="minorHAnsi" w:cstheme="minorHAnsi"/>
          <w:sz w:val="23"/>
          <w:szCs w:val="23"/>
        </w:rPr>
        <w:t xml:space="preserve">dominant influence on emergence timing in </w:t>
      </w:r>
      <w:r w:rsidR="00E575AF" w:rsidRPr="00EC419C">
        <w:rPr>
          <w:rFonts w:asciiTheme="minorHAnsi" w:hAnsiTheme="minorHAnsi" w:cstheme="minorHAnsi"/>
          <w:sz w:val="23"/>
          <w:szCs w:val="23"/>
        </w:rPr>
        <w:t>many annual</w:t>
      </w:r>
      <w:r w:rsidR="0065626C" w:rsidRPr="00EC419C">
        <w:rPr>
          <w:rFonts w:asciiTheme="minorHAnsi" w:hAnsiTheme="minorHAnsi" w:cstheme="minorHAnsi"/>
          <w:sz w:val="23"/>
          <w:szCs w:val="23"/>
        </w:rPr>
        <w:t xml:space="preserve"> weed species (</w:t>
      </w:r>
      <w:proofErr w:type="spellStart"/>
      <w:r w:rsidR="0065626C" w:rsidRPr="00EC419C">
        <w:rPr>
          <w:rFonts w:asciiTheme="minorHAnsi" w:hAnsiTheme="minorHAnsi" w:cstheme="minorHAnsi"/>
          <w:sz w:val="23"/>
          <w:szCs w:val="23"/>
        </w:rPr>
        <w:t>Werle</w:t>
      </w:r>
      <w:proofErr w:type="spellEnd"/>
      <w:r w:rsidR="0065626C" w:rsidRPr="00EC419C">
        <w:rPr>
          <w:rFonts w:asciiTheme="minorHAnsi" w:hAnsiTheme="minorHAnsi" w:cstheme="minorHAnsi"/>
          <w:sz w:val="23"/>
          <w:szCs w:val="23"/>
        </w:rPr>
        <w:t xml:space="preserve"> et al 214a;</w:t>
      </w:r>
      <w:r w:rsidR="00E575AF" w:rsidRPr="00EC419C">
        <w:rPr>
          <w:rFonts w:asciiTheme="minorHAnsi" w:hAnsiTheme="minorHAnsi" w:cstheme="minorHAnsi"/>
          <w:sz w:val="23"/>
          <w:szCs w:val="23"/>
        </w:rPr>
        <w:t xml:space="preserve"> </w:t>
      </w:r>
      <w:proofErr w:type="spellStart"/>
      <w:r w:rsidR="0065626C" w:rsidRPr="00EC419C">
        <w:rPr>
          <w:rFonts w:asciiTheme="minorHAnsi" w:hAnsiTheme="minorHAnsi" w:cstheme="minorHAnsi"/>
          <w:sz w:val="23"/>
          <w:szCs w:val="23"/>
        </w:rPr>
        <w:t>Werle</w:t>
      </w:r>
      <w:proofErr w:type="spellEnd"/>
      <w:r w:rsidR="0065626C" w:rsidRPr="00EC419C">
        <w:rPr>
          <w:rFonts w:asciiTheme="minorHAnsi" w:hAnsiTheme="minorHAnsi" w:cstheme="minorHAnsi"/>
          <w:sz w:val="23"/>
          <w:szCs w:val="23"/>
        </w:rPr>
        <w:t xml:space="preserve"> et al 2014b). </w:t>
      </w:r>
      <w:r w:rsidR="00FB3CF6" w:rsidRPr="00EC419C">
        <w:rPr>
          <w:rFonts w:asciiTheme="minorHAnsi" w:hAnsiTheme="minorHAnsi" w:cstheme="minorHAnsi"/>
          <w:sz w:val="23"/>
          <w:szCs w:val="23"/>
        </w:rPr>
        <w:t xml:space="preserve">Understanding how changes in winter </w:t>
      </w:r>
      <w:r w:rsidR="00E575AF" w:rsidRPr="00EC419C">
        <w:rPr>
          <w:rFonts w:asciiTheme="minorHAnsi" w:hAnsiTheme="minorHAnsi" w:cstheme="minorHAnsi"/>
          <w:sz w:val="23"/>
          <w:szCs w:val="23"/>
        </w:rPr>
        <w:t>temperature affect</w:t>
      </w:r>
      <w:r w:rsidR="00FB3CF6" w:rsidRPr="00EC419C">
        <w:rPr>
          <w:rFonts w:asciiTheme="minorHAnsi" w:hAnsiTheme="minorHAnsi" w:cstheme="minorHAnsi"/>
          <w:sz w:val="23"/>
          <w:szCs w:val="23"/>
        </w:rPr>
        <w:t xml:space="preserve"> weed germination and emergence </w:t>
      </w:r>
      <w:r w:rsidR="00E575AF" w:rsidRPr="00EC419C">
        <w:rPr>
          <w:rFonts w:asciiTheme="minorHAnsi" w:hAnsiTheme="minorHAnsi" w:cstheme="minorHAnsi"/>
          <w:sz w:val="23"/>
          <w:szCs w:val="23"/>
        </w:rPr>
        <w:t xml:space="preserve">is crucial to designing </w:t>
      </w:r>
      <w:r w:rsidR="00EC5BBF" w:rsidRPr="00EC419C">
        <w:rPr>
          <w:rFonts w:asciiTheme="minorHAnsi" w:hAnsiTheme="minorHAnsi" w:cstheme="minorHAnsi"/>
          <w:sz w:val="23"/>
          <w:szCs w:val="23"/>
        </w:rPr>
        <w:t>weed management systems that are resilient to climate change</w:t>
      </w:r>
      <w:r w:rsidR="00FB3CF6" w:rsidRPr="00EC419C">
        <w:rPr>
          <w:rFonts w:asciiTheme="minorHAnsi" w:hAnsiTheme="minorHAnsi" w:cstheme="minorHAnsi"/>
          <w:sz w:val="23"/>
          <w:szCs w:val="23"/>
        </w:rPr>
        <w:t>.</w:t>
      </w:r>
    </w:p>
    <w:p w14:paraId="190E2F2C" w14:textId="05F72243" w:rsidR="00FB3CF6" w:rsidRPr="00563766" w:rsidRDefault="00FB3CF6" w:rsidP="001A0CCE">
      <w:pPr>
        <w:rPr>
          <w:rFonts w:cstheme="minorHAnsi"/>
        </w:rPr>
      </w:pPr>
    </w:p>
    <w:p w14:paraId="32C7DC36" w14:textId="37BB62EF" w:rsidR="00593D16" w:rsidRPr="00D44DD2" w:rsidRDefault="001A0CCE" w:rsidP="001A0CCE">
      <w:pPr>
        <w:rPr>
          <w:rFonts w:cstheme="minorHAnsi"/>
          <w:sz w:val="23"/>
          <w:szCs w:val="23"/>
        </w:rPr>
      </w:pPr>
      <w:r>
        <w:rPr>
          <w:b/>
          <w:bCs/>
          <w:i/>
          <w:iCs/>
          <w:sz w:val="23"/>
          <w:szCs w:val="23"/>
        </w:rPr>
        <w:t xml:space="preserve"> Changing winters in </w:t>
      </w:r>
      <w:r w:rsidR="00D816AB">
        <w:rPr>
          <w:b/>
          <w:bCs/>
          <w:i/>
          <w:iCs/>
          <w:sz w:val="23"/>
          <w:szCs w:val="23"/>
        </w:rPr>
        <w:t>n</w:t>
      </w:r>
      <w:r>
        <w:rPr>
          <w:b/>
          <w:bCs/>
          <w:i/>
          <w:iCs/>
          <w:sz w:val="23"/>
          <w:szCs w:val="23"/>
        </w:rPr>
        <w:t>orthern climates</w:t>
      </w:r>
      <w:r>
        <w:rPr>
          <w:rFonts w:ascii="Calibri" w:hAnsi="Calibri" w:cs="Calibri"/>
          <w:sz w:val="23"/>
          <w:szCs w:val="23"/>
        </w:rPr>
        <w:t xml:space="preserve">. </w:t>
      </w:r>
      <w:r>
        <w:rPr>
          <w:sz w:val="23"/>
          <w:szCs w:val="23"/>
        </w:rPr>
        <w:t xml:space="preserve">In northern latitudes, winters are warming faster than any other season </w:t>
      </w:r>
      <w:r w:rsidR="00EF0FC9">
        <w:rPr>
          <w:sz w:val="23"/>
          <w:szCs w:val="23"/>
        </w:rPr>
        <w:t>(</w:t>
      </w:r>
      <w:proofErr w:type="spellStart"/>
      <w:r w:rsidR="00EF0FC9">
        <w:rPr>
          <w:sz w:val="23"/>
          <w:szCs w:val="23"/>
        </w:rPr>
        <w:t>Hayhoe</w:t>
      </w:r>
      <w:proofErr w:type="spellEnd"/>
      <w:r w:rsidR="00EF0FC9">
        <w:rPr>
          <w:sz w:val="23"/>
          <w:szCs w:val="23"/>
        </w:rPr>
        <w:t xml:space="preserve"> et al 2007</w:t>
      </w:r>
      <w:r>
        <w:rPr>
          <w:sz w:val="23"/>
          <w:szCs w:val="23"/>
        </w:rPr>
        <w:t xml:space="preserve">, </w:t>
      </w:r>
      <w:proofErr w:type="spellStart"/>
      <w:r w:rsidR="00EF0FC9">
        <w:rPr>
          <w:sz w:val="23"/>
          <w:szCs w:val="23"/>
        </w:rPr>
        <w:t>Karmalkar</w:t>
      </w:r>
      <w:proofErr w:type="spellEnd"/>
      <w:r w:rsidR="00EF0FC9">
        <w:rPr>
          <w:sz w:val="23"/>
          <w:szCs w:val="23"/>
        </w:rPr>
        <w:t xml:space="preserve"> et al 2017, Brown et al 2010, USGCRP 2017)</w:t>
      </w:r>
      <w:r>
        <w:rPr>
          <w:sz w:val="23"/>
          <w:szCs w:val="23"/>
        </w:rPr>
        <w:t xml:space="preserve">. Winters are also shortening as spring </w:t>
      </w:r>
      <w:r w:rsidR="00563766">
        <w:rPr>
          <w:sz w:val="23"/>
          <w:szCs w:val="23"/>
        </w:rPr>
        <w:t>advances</w:t>
      </w:r>
      <w:r>
        <w:rPr>
          <w:sz w:val="23"/>
          <w:szCs w:val="23"/>
        </w:rPr>
        <w:t xml:space="preserve"> earlier in the year and autumn senescence is delayed, resulting in a longer growing season </w:t>
      </w:r>
      <w:r w:rsidR="00EF0FC9">
        <w:rPr>
          <w:sz w:val="23"/>
          <w:szCs w:val="23"/>
        </w:rPr>
        <w:t xml:space="preserve">(Piao et al 2015, Monahan et al 2016, </w:t>
      </w:r>
      <w:proofErr w:type="spellStart"/>
      <w:r w:rsidR="00EF0FC9">
        <w:rPr>
          <w:sz w:val="23"/>
          <w:szCs w:val="23"/>
        </w:rPr>
        <w:t>Contosta</w:t>
      </w:r>
      <w:proofErr w:type="spellEnd"/>
      <w:r w:rsidR="00EF0FC9">
        <w:rPr>
          <w:sz w:val="23"/>
          <w:szCs w:val="23"/>
        </w:rPr>
        <w:t xml:space="preserve"> et al 2020)</w:t>
      </w:r>
      <w:r>
        <w:rPr>
          <w:sz w:val="23"/>
          <w:szCs w:val="23"/>
        </w:rPr>
        <w:t>. Against this backdrop of milder winters and longer, warmer growing seasons</w:t>
      </w:r>
      <w:r w:rsidR="00BA4922">
        <w:rPr>
          <w:sz w:val="23"/>
          <w:szCs w:val="23"/>
        </w:rPr>
        <w:t>, climate change is driving</w:t>
      </w:r>
      <w:r>
        <w:rPr>
          <w:sz w:val="23"/>
          <w:szCs w:val="23"/>
        </w:rPr>
        <w:t xml:space="preserve"> greater winter weather variability </w:t>
      </w:r>
      <w:r w:rsidR="00EF0FC9">
        <w:rPr>
          <w:sz w:val="23"/>
          <w:szCs w:val="23"/>
        </w:rPr>
        <w:t>(Chen et al 2018)</w:t>
      </w:r>
      <w:r>
        <w:rPr>
          <w:sz w:val="23"/>
          <w:szCs w:val="23"/>
        </w:rPr>
        <w:t xml:space="preserve"> related to changes in the Arctic jet stream</w:t>
      </w:r>
      <w:r w:rsidR="00EF0FC9">
        <w:rPr>
          <w:sz w:val="23"/>
          <w:szCs w:val="23"/>
        </w:rPr>
        <w:t xml:space="preserve"> (Francis et al 2015, Cohen 2016, Overland et al 2016)</w:t>
      </w:r>
      <w:r w:rsidR="00BA4922">
        <w:rPr>
          <w:sz w:val="23"/>
          <w:szCs w:val="23"/>
        </w:rPr>
        <w:t>. This variability</w:t>
      </w:r>
      <w:r>
        <w:rPr>
          <w:sz w:val="23"/>
          <w:szCs w:val="23"/>
        </w:rPr>
        <w:t xml:space="preserve"> </w:t>
      </w:r>
      <w:r w:rsidR="00BA4922">
        <w:rPr>
          <w:sz w:val="23"/>
          <w:szCs w:val="23"/>
        </w:rPr>
        <w:t xml:space="preserve">may </w:t>
      </w:r>
      <w:r>
        <w:rPr>
          <w:sz w:val="23"/>
          <w:szCs w:val="23"/>
        </w:rPr>
        <w:t xml:space="preserve">result in extreme </w:t>
      </w:r>
      <w:r>
        <w:rPr>
          <w:sz w:val="23"/>
          <w:szCs w:val="23"/>
        </w:rPr>
        <w:lastRenderedPageBreak/>
        <w:t xml:space="preserve">cold temperatures </w:t>
      </w:r>
      <w:r w:rsidR="00EF0FC9">
        <w:rPr>
          <w:sz w:val="23"/>
          <w:szCs w:val="23"/>
        </w:rPr>
        <w:t xml:space="preserve">(Cohen et al 2013, </w:t>
      </w:r>
      <w:proofErr w:type="spellStart"/>
      <w:r w:rsidR="00EF0FC9">
        <w:rPr>
          <w:sz w:val="23"/>
          <w:szCs w:val="23"/>
        </w:rPr>
        <w:t>Kug</w:t>
      </w:r>
      <w:proofErr w:type="spellEnd"/>
      <w:r w:rsidR="00EF0FC9">
        <w:rPr>
          <w:sz w:val="23"/>
          <w:szCs w:val="23"/>
        </w:rPr>
        <w:t xml:space="preserve"> et al 2015, Overland 25 al 2011, Cohen et al 2018)</w:t>
      </w:r>
      <w:r>
        <w:rPr>
          <w:sz w:val="23"/>
          <w:szCs w:val="23"/>
        </w:rPr>
        <w:t>. One extreme occurred in 2018</w:t>
      </w:r>
      <w:r w:rsidR="00D816AB">
        <w:rPr>
          <w:sz w:val="23"/>
          <w:szCs w:val="23"/>
        </w:rPr>
        <w:t>–20</w:t>
      </w:r>
      <w:r>
        <w:rPr>
          <w:sz w:val="23"/>
          <w:szCs w:val="23"/>
        </w:rPr>
        <w:t xml:space="preserve">19, when the incursion of the polar vortex plunged temperatures below </w:t>
      </w:r>
      <w:r w:rsidR="00D816AB">
        <w:rPr>
          <w:sz w:val="23"/>
          <w:szCs w:val="23"/>
        </w:rPr>
        <w:t>–</w:t>
      </w:r>
      <w:r>
        <w:rPr>
          <w:sz w:val="23"/>
          <w:szCs w:val="23"/>
        </w:rPr>
        <w:t xml:space="preserve">20°C across the Northeast. While swings between extremely cold and warm temperatures are somewhat rare, freeze-thaw cycles in which temperatures fluctuate </w:t>
      </w:r>
      <w:r w:rsidR="00223CF2">
        <w:rPr>
          <w:sz w:val="23"/>
          <w:szCs w:val="23"/>
        </w:rPr>
        <w:t>around</w:t>
      </w:r>
      <w:r>
        <w:rPr>
          <w:sz w:val="23"/>
          <w:szCs w:val="23"/>
        </w:rPr>
        <w:t xml:space="preserve"> 0°C may become </w:t>
      </w:r>
      <w:r w:rsidRPr="00D44DD2">
        <w:rPr>
          <w:rFonts w:cstheme="minorHAnsi"/>
          <w:sz w:val="23"/>
          <w:szCs w:val="23"/>
        </w:rPr>
        <w:t xml:space="preserve">increasingly common as the climate warms </w:t>
      </w:r>
      <w:r w:rsidR="00595FCE" w:rsidRPr="00D44DD2">
        <w:rPr>
          <w:rFonts w:cstheme="minorHAnsi"/>
          <w:sz w:val="23"/>
          <w:szCs w:val="23"/>
        </w:rPr>
        <w:t>(Henry 2008)</w:t>
      </w:r>
      <w:r w:rsidRPr="00D44DD2">
        <w:rPr>
          <w:rFonts w:cstheme="minorHAnsi"/>
          <w:sz w:val="23"/>
          <w:szCs w:val="23"/>
        </w:rPr>
        <w:t xml:space="preserve"> with significant implications for agricultural productivity </w:t>
      </w:r>
      <w:r w:rsidR="00595FCE" w:rsidRPr="00D44DD2">
        <w:rPr>
          <w:rFonts w:cstheme="minorHAnsi"/>
          <w:sz w:val="23"/>
          <w:szCs w:val="23"/>
        </w:rPr>
        <w:t>(</w:t>
      </w:r>
      <w:proofErr w:type="spellStart"/>
      <w:r w:rsidR="00595FCE" w:rsidRPr="00D44DD2">
        <w:rPr>
          <w:rFonts w:cstheme="minorHAnsi"/>
          <w:sz w:val="23"/>
          <w:szCs w:val="23"/>
        </w:rPr>
        <w:t>Rotz</w:t>
      </w:r>
      <w:proofErr w:type="spellEnd"/>
      <w:r w:rsidR="00595FCE" w:rsidRPr="00D44DD2">
        <w:rPr>
          <w:rFonts w:cstheme="minorHAnsi"/>
          <w:sz w:val="23"/>
          <w:szCs w:val="23"/>
        </w:rPr>
        <w:t xml:space="preserve"> et al 2016)</w:t>
      </w:r>
      <w:r w:rsidRPr="00D44DD2">
        <w:rPr>
          <w:rFonts w:cstheme="minorHAnsi"/>
          <w:sz w:val="23"/>
          <w:szCs w:val="23"/>
        </w:rPr>
        <w:t>.</w:t>
      </w:r>
    </w:p>
    <w:p w14:paraId="0669A4EA" w14:textId="14B2A568" w:rsidR="001A0CCE" w:rsidRPr="00EC419C" w:rsidRDefault="001A0CCE" w:rsidP="001A0CCE">
      <w:pPr>
        <w:pStyle w:val="Default"/>
        <w:rPr>
          <w:rFonts w:asciiTheme="minorHAnsi" w:hAnsiTheme="minorHAnsi" w:cstheme="minorHAnsi"/>
          <w:sz w:val="23"/>
          <w:szCs w:val="23"/>
        </w:rPr>
      </w:pPr>
      <w:r w:rsidRPr="00EC419C">
        <w:rPr>
          <w:rFonts w:asciiTheme="minorHAnsi" w:hAnsiTheme="minorHAnsi" w:cstheme="minorHAnsi"/>
          <w:b/>
          <w:bCs/>
          <w:i/>
          <w:iCs/>
          <w:sz w:val="23"/>
          <w:szCs w:val="23"/>
        </w:rPr>
        <w:t>Weed seed</w:t>
      </w:r>
      <w:r w:rsidR="006E2693" w:rsidRPr="00EC419C">
        <w:rPr>
          <w:rFonts w:asciiTheme="minorHAnsi" w:hAnsiTheme="minorHAnsi" w:cstheme="minorHAnsi"/>
          <w:b/>
          <w:bCs/>
          <w:i/>
          <w:iCs/>
          <w:sz w:val="23"/>
          <w:szCs w:val="23"/>
        </w:rPr>
        <w:t xml:space="preserve"> </w:t>
      </w:r>
      <w:r w:rsidRPr="00EC419C">
        <w:rPr>
          <w:rFonts w:asciiTheme="minorHAnsi" w:hAnsiTheme="minorHAnsi" w:cstheme="minorHAnsi"/>
          <w:b/>
          <w:bCs/>
          <w:i/>
          <w:iCs/>
          <w:sz w:val="23"/>
          <w:szCs w:val="23"/>
        </w:rPr>
        <w:t xml:space="preserve">bank dynamics </w:t>
      </w:r>
      <w:r w:rsidR="006917B1" w:rsidRPr="00EC419C">
        <w:rPr>
          <w:rFonts w:asciiTheme="minorHAnsi" w:hAnsiTheme="minorHAnsi" w:cstheme="minorHAnsi"/>
          <w:b/>
          <w:bCs/>
          <w:i/>
          <w:iCs/>
          <w:sz w:val="23"/>
          <w:szCs w:val="23"/>
        </w:rPr>
        <w:t>and their responses to temperature</w:t>
      </w:r>
      <w:r w:rsidRPr="00EC419C">
        <w:rPr>
          <w:rFonts w:asciiTheme="minorHAnsi" w:hAnsiTheme="minorHAnsi" w:cstheme="minorHAnsi"/>
          <w:b/>
          <w:bCs/>
          <w:sz w:val="23"/>
          <w:szCs w:val="23"/>
        </w:rPr>
        <w:t xml:space="preserve">. </w:t>
      </w:r>
    </w:p>
    <w:p w14:paraId="1DE84D8C" w14:textId="32DA0122" w:rsidR="001A0CCE" w:rsidRPr="00EC419C" w:rsidRDefault="001A0CCE" w:rsidP="001A0CCE">
      <w:pPr>
        <w:pStyle w:val="Default"/>
        <w:rPr>
          <w:rFonts w:asciiTheme="minorHAnsi" w:hAnsiTheme="minorHAnsi" w:cstheme="minorHAnsi"/>
          <w:sz w:val="23"/>
          <w:szCs w:val="23"/>
        </w:rPr>
      </w:pPr>
      <w:r w:rsidRPr="00EC419C">
        <w:rPr>
          <w:rFonts w:asciiTheme="minorHAnsi" w:hAnsiTheme="minorHAnsi" w:cstheme="minorHAnsi"/>
          <w:sz w:val="23"/>
          <w:szCs w:val="23"/>
        </w:rPr>
        <w:t xml:space="preserve">Weeds are a persistent challenge </w:t>
      </w:r>
      <w:r w:rsidR="0064743B" w:rsidRPr="00EC419C">
        <w:rPr>
          <w:rFonts w:asciiTheme="minorHAnsi" w:hAnsiTheme="minorHAnsi" w:cstheme="minorHAnsi"/>
          <w:sz w:val="23"/>
          <w:szCs w:val="23"/>
        </w:rPr>
        <w:t xml:space="preserve">for </w:t>
      </w:r>
      <w:r w:rsidRPr="00EC419C">
        <w:rPr>
          <w:rFonts w:asciiTheme="minorHAnsi" w:hAnsiTheme="minorHAnsi" w:cstheme="minorHAnsi"/>
          <w:sz w:val="23"/>
          <w:szCs w:val="23"/>
        </w:rPr>
        <w:t>crop production</w:t>
      </w:r>
      <w:r w:rsidR="00223800" w:rsidRPr="00EC419C">
        <w:rPr>
          <w:rFonts w:asciiTheme="minorHAnsi" w:hAnsiTheme="minorHAnsi" w:cstheme="minorHAnsi"/>
          <w:sz w:val="23"/>
          <w:szCs w:val="23"/>
        </w:rPr>
        <w:t>. T</w:t>
      </w:r>
      <w:r w:rsidRPr="00EC419C">
        <w:rPr>
          <w:rFonts w:asciiTheme="minorHAnsi" w:hAnsiTheme="minorHAnsi" w:cstheme="minorHAnsi"/>
          <w:sz w:val="23"/>
          <w:szCs w:val="23"/>
        </w:rPr>
        <w:t xml:space="preserve">hey reduce </w:t>
      </w:r>
      <w:r w:rsidR="00563766" w:rsidRPr="00EC419C">
        <w:rPr>
          <w:rFonts w:asciiTheme="minorHAnsi" w:hAnsiTheme="minorHAnsi" w:cstheme="minorHAnsi"/>
          <w:sz w:val="23"/>
          <w:szCs w:val="23"/>
        </w:rPr>
        <w:t xml:space="preserve">crop </w:t>
      </w:r>
      <w:r w:rsidRPr="00EC419C">
        <w:rPr>
          <w:rFonts w:asciiTheme="minorHAnsi" w:hAnsiTheme="minorHAnsi" w:cstheme="minorHAnsi"/>
          <w:sz w:val="23"/>
          <w:szCs w:val="23"/>
        </w:rPr>
        <w:t>yield and quality</w:t>
      </w:r>
      <w:r w:rsidR="00223800" w:rsidRPr="00EC419C">
        <w:rPr>
          <w:rFonts w:asciiTheme="minorHAnsi" w:hAnsiTheme="minorHAnsi" w:cstheme="minorHAnsi"/>
          <w:sz w:val="23"/>
          <w:szCs w:val="23"/>
        </w:rPr>
        <w:t>, sometimes even</w:t>
      </w:r>
      <w:r w:rsidRPr="00EC419C">
        <w:rPr>
          <w:rFonts w:asciiTheme="minorHAnsi" w:hAnsiTheme="minorHAnsi" w:cstheme="minorHAnsi"/>
          <w:sz w:val="23"/>
          <w:szCs w:val="23"/>
        </w:rPr>
        <w:t xml:space="preserve"> </w:t>
      </w:r>
      <w:r w:rsidR="00223800" w:rsidRPr="00EC419C">
        <w:rPr>
          <w:rFonts w:asciiTheme="minorHAnsi" w:hAnsiTheme="minorHAnsi" w:cstheme="minorHAnsi"/>
          <w:sz w:val="23"/>
          <w:szCs w:val="23"/>
        </w:rPr>
        <w:t>causing</w:t>
      </w:r>
      <w:r w:rsidRPr="00EC419C">
        <w:rPr>
          <w:rFonts w:asciiTheme="minorHAnsi" w:hAnsiTheme="minorHAnsi" w:cstheme="minorHAnsi"/>
          <w:sz w:val="23"/>
          <w:szCs w:val="23"/>
        </w:rPr>
        <w:t xml:space="preserve"> stand failure </w:t>
      </w:r>
      <w:r w:rsidR="00595FCE" w:rsidRPr="00EC419C">
        <w:rPr>
          <w:rFonts w:asciiTheme="minorHAnsi" w:hAnsiTheme="minorHAnsi" w:cstheme="minorHAnsi"/>
          <w:sz w:val="23"/>
          <w:szCs w:val="23"/>
        </w:rPr>
        <w:t>(</w:t>
      </w:r>
      <w:proofErr w:type="spellStart"/>
      <w:r w:rsidR="00595FCE" w:rsidRPr="00EC419C">
        <w:rPr>
          <w:rFonts w:asciiTheme="minorHAnsi" w:hAnsiTheme="minorHAnsi" w:cstheme="minorHAnsi"/>
          <w:sz w:val="23"/>
          <w:szCs w:val="23"/>
        </w:rPr>
        <w:t>Grekul</w:t>
      </w:r>
      <w:proofErr w:type="spellEnd"/>
      <w:r w:rsidR="00595FCE" w:rsidRPr="00EC419C">
        <w:rPr>
          <w:rFonts w:asciiTheme="minorHAnsi" w:hAnsiTheme="minorHAnsi" w:cstheme="minorHAnsi"/>
          <w:sz w:val="23"/>
          <w:szCs w:val="23"/>
        </w:rPr>
        <w:t xml:space="preserve"> and Bork 2004, </w:t>
      </w:r>
      <w:r w:rsidR="00563766" w:rsidRPr="00EC419C">
        <w:rPr>
          <w:rFonts w:asciiTheme="minorHAnsi" w:hAnsiTheme="minorHAnsi" w:cstheme="minorHAnsi"/>
        </w:rPr>
        <w:t xml:space="preserve">Baker &amp; Mohler 2014, </w:t>
      </w:r>
      <w:proofErr w:type="spellStart"/>
      <w:r w:rsidR="00D44DD2" w:rsidRPr="00EC419C">
        <w:rPr>
          <w:rFonts w:asciiTheme="minorHAnsi" w:hAnsiTheme="minorHAnsi" w:cstheme="minorHAnsi"/>
        </w:rPr>
        <w:t>Hatzler</w:t>
      </w:r>
      <w:proofErr w:type="spellEnd"/>
      <w:r w:rsidR="00D44DD2" w:rsidRPr="00EC419C">
        <w:rPr>
          <w:rFonts w:asciiTheme="minorHAnsi" w:hAnsiTheme="minorHAnsi" w:cstheme="minorHAnsi"/>
        </w:rPr>
        <w:t xml:space="preserve"> 2004, </w:t>
      </w:r>
      <w:r w:rsidR="00595FCE" w:rsidRPr="00EC419C">
        <w:rPr>
          <w:rFonts w:asciiTheme="minorHAnsi" w:hAnsiTheme="minorHAnsi" w:cstheme="minorHAnsi"/>
          <w:sz w:val="23"/>
          <w:szCs w:val="23"/>
        </w:rPr>
        <w:t>Rosenbaum et al 2011)</w:t>
      </w:r>
      <w:r w:rsidRPr="00EC419C">
        <w:rPr>
          <w:rFonts w:asciiTheme="minorHAnsi" w:hAnsiTheme="minorHAnsi" w:cstheme="minorHAnsi"/>
          <w:sz w:val="23"/>
          <w:szCs w:val="23"/>
        </w:rPr>
        <w:t>. Weed seed banks are the primary source of weed recruitment in most agroecosystems</w:t>
      </w:r>
      <w:r w:rsidR="00C4292B" w:rsidRPr="00EC419C">
        <w:rPr>
          <w:rFonts w:asciiTheme="minorHAnsi" w:hAnsiTheme="minorHAnsi" w:cstheme="minorHAnsi"/>
          <w:sz w:val="23"/>
          <w:szCs w:val="23"/>
        </w:rPr>
        <w:t xml:space="preserve">. </w:t>
      </w:r>
      <w:r w:rsidR="006917B1" w:rsidRPr="00EC419C">
        <w:rPr>
          <w:rFonts w:asciiTheme="minorHAnsi" w:hAnsiTheme="minorHAnsi" w:cstheme="minorHAnsi"/>
          <w:sz w:val="23"/>
          <w:szCs w:val="23"/>
        </w:rPr>
        <w:t>W</w:t>
      </w:r>
      <w:r w:rsidRPr="00EC419C">
        <w:rPr>
          <w:rFonts w:asciiTheme="minorHAnsi" w:hAnsiTheme="minorHAnsi" w:cstheme="minorHAnsi"/>
          <w:sz w:val="23"/>
          <w:szCs w:val="23"/>
        </w:rPr>
        <w:t xml:space="preserve">eed issues </w:t>
      </w:r>
      <w:r w:rsidR="006917B1" w:rsidRPr="00EC419C">
        <w:rPr>
          <w:rFonts w:asciiTheme="minorHAnsi" w:hAnsiTheme="minorHAnsi" w:cstheme="minorHAnsi"/>
          <w:sz w:val="23"/>
          <w:szCs w:val="23"/>
        </w:rPr>
        <w:t>are likely to</w:t>
      </w:r>
      <w:r w:rsidRPr="00EC419C">
        <w:rPr>
          <w:rFonts w:asciiTheme="minorHAnsi" w:hAnsiTheme="minorHAnsi" w:cstheme="minorHAnsi"/>
          <w:sz w:val="23"/>
          <w:szCs w:val="23"/>
        </w:rPr>
        <w:t xml:space="preserve"> exacerbated by a warming climate </w:t>
      </w:r>
      <w:r w:rsidR="00595FCE" w:rsidRPr="00EC419C">
        <w:rPr>
          <w:rFonts w:asciiTheme="minorHAnsi" w:hAnsiTheme="minorHAnsi" w:cstheme="minorHAnsi"/>
          <w:sz w:val="23"/>
          <w:szCs w:val="23"/>
        </w:rPr>
        <w:t>(Hatfield et al 2011, 2014)</w:t>
      </w:r>
      <w:r w:rsidR="006917B1" w:rsidRPr="00EC419C">
        <w:rPr>
          <w:rFonts w:asciiTheme="minorHAnsi" w:hAnsiTheme="minorHAnsi" w:cstheme="minorHAnsi"/>
          <w:sz w:val="23"/>
          <w:szCs w:val="23"/>
        </w:rPr>
        <w:t xml:space="preserve">, which will impact weed seedbanks as well as </w:t>
      </w:r>
      <w:r w:rsidR="00CC7679" w:rsidRPr="00EC419C">
        <w:rPr>
          <w:rFonts w:asciiTheme="minorHAnsi" w:hAnsiTheme="minorHAnsi" w:cstheme="minorHAnsi"/>
          <w:sz w:val="23"/>
          <w:szCs w:val="23"/>
        </w:rPr>
        <w:t>emerged weeds</w:t>
      </w:r>
      <w:r w:rsidR="00595FCE" w:rsidRPr="00EC419C">
        <w:rPr>
          <w:rFonts w:asciiTheme="minorHAnsi" w:hAnsiTheme="minorHAnsi" w:cstheme="minorHAnsi"/>
          <w:sz w:val="23"/>
          <w:szCs w:val="23"/>
        </w:rPr>
        <w:t>.</w:t>
      </w:r>
      <w:r w:rsidRPr="00EC419C">
        <w:rPr>
          <w:rFonts w:asciiTheme="minorHAnsi" w:hAnsiTheme="minorHAnsi" w:cstheme="minorHAnsi"/>
          <w:sz w:val="23"/>
          <w:szCs w:val="23"/>
        </w:rPr>
        <w:t xml:space="preserve"> Weed seed persistence within the soil seedbank is strongly regulated by soil temperature </w:t>
      </w:r>
      <w:r w:rsidR="00595FCE" w:rsidRPr="00EC419C">
        <w:rPr>
          <w:rFonts w:asciiTheme="minorHAnsi" w:hAnsiTheme="minorHAnsi" w:cstheme="minorHAnsi"/>
          <w:sz w:val="23"/>
          <w:szCs w:val="23"/>
        </w:rPr>
        <w:t xml:space="preserve">(Smith et al 2018, </w:t>
      </w:r>
      <w:proofErr w:type="spellStart"/>
      <w:r w:rsidR="00595FCE" w:rsidRPr="00EC419C">
        <w:rPr>
          <w:rFonts w:asciiTheme="minorHAnsi" w:hAnsiTheme="minorHAnsi" w:cstheme="minorHAnsi"/>
          <w:sz w:val="23"/>
          <w:szCs w:val="23"/>
        </w:rPr>
        <w:t>Kreyling</w:t>
      </w:r>
      <w:proofErr w:type="spellEnd"/>
      <w:r w:rsidR="00595FCE" w:rsidRPr="00EC419C">
        <w:rPr>
          <w:rFonts w:asciiTheme="minorHAnsi" w:hAnsiTheme="minorHAnsi" w:cstheme="minorHAnsi"/>
          <w:sz w:val="23"/>
          <w:szCs w:val="23"/>
        </w:rPr>
        <w:t xml:space="preserve"> et al 2010, </w:t>
      </w:r>
      <w:proofErr w:type="spellStart"/>
      <w:r w:rsidR="00595FCE" w:rsidRPr="00EC419C">
        <w:rPr>
          <w:rFonts w:asciiTheme="minorHAnsi" w:hAnsiTheme="minorHAnsi" w:cstheme="minorHAnsi"/>
          <w:sz w:val="23"/>
          <w:szCs w:val="23"/>
        </w:rPr>
        <w:t>Walck</w:t>
      </w:r>
      <w:proofErr w:type="spellEnd"/>
      <w:r w:rsidR="00595FCE" w:rsidRPr="00EC419C">
        <w:rPr>
          <w:rFonts w:asciiTheme="minorHAnsi" w:hAnsiTheme="minorHAnsi" w:cstheme="minorHAnsi"/>
          <w:sz w:val="23"/>
          <w:szCs w:val="23"/>
        </w:rPr>
        <w:t xml:space="preserve"> et al 2011)</w:t>
      </w:r>
      <w:r w:rsidR="00067C90" w:rsidRPr="00EC419C">
        <w:rPr>
          <w:rFonts w:asciiTheme="minorHAnsi" w:hAnsiTheme="minorHAnsi" w:cstheme="minorHAnsi"/>
          <w:sz w:val="23"/>
          <w:szCs w:val="23"/>
        </w:rPr>
        <w:t xml:space="preserve">. </w:t>
      </w:r>
      <w:r w:rsidR="00655216" w:rsidRPr="00EC419C">
        <w:rPr>
          <w:rFonts w:asciiTheme="minorHAnsi" w:hAnsiTheme="minorHAnsi" w:cstheme="minorHAnsi"/>
          <w:sz w:val="23"/>
          <w:szCs w:val="23"/>
        </w:rPr>
        <w:t>For this reason and others</w:t>
      </w:r>
      <w:r w:rsidR="00067C90" w:rsidRPr="00EC419C">
        <w:rPr>
          <w:rFonts w:asciiTheme="minorHAnsi" w:hAnsiTheme="minorHAnsi" w:cstheme="minorHAnsi"/>
          <w:sz w:val="23"/>
          <w:szCs w:val="23"/>
        </w:rPr>
        <w:t>, changes</w:t>
      </w:r>
      <w:r w:rsidR="00F526F2" w:rsidRPr="00EC419C">
        <w:rPr>
          <w:rFonts w:asciiTheme="minorHAnsi" w:hAnsiTheme="minorHAnsi" w:cstheme="minorHAnsi"/>
          <w:sz w:val="23"/>
          <w:szCs w:val="23"/>
        </w:rPr>
        <w:t xml:space="preserve"> in temperature</w:t>
      </w:r>
      <w:r w:rsidR="00067C90" w:rsidRPr="00EC419C">
        <w:rPr>
          <w:rFonts w:asciiTheme="minorHAnsi" w:hAnsiTheme="minorHAnsi" w:cstheme="minorHAnsi"/>
          <w:sz w:val="23"/>
          <w:szCs w:val="23"/>
        </w:rPr>
        <w:t xml:space="preserve"> </w:t>
      </w:r>
      <w:r w:rsidR="00655216" w:rsidRPr="00EC419C">
        <w:rPr>
          <w:rFonts w:asciiTheme="minorHAnsi" w:hAnsiTheme="minorHAnsi" w:cstheme="minorHAnsi"/>
          <w:sz w:val="23"/>
          <w:szCs w:val="23"/>
        </w:rPr>
        <w:t>are</w:t>
      </w:r>
      <w:r w:rsidR="00F526F2" w:rsidRPr="00EC419C">
        <w:rPr>
          <w:rFonts w:asciiTheme="minorHAnsi" w:hAnsiTheme="minorHAnsi" w:cstheme="minorHAnsi"/>
          <w:sz w:val="23"/>
          <w:szCs w:val="23"/>
        </w:rPr>
        <w:t xml:space="preserve"> </w:t>
      </w:r>
      <w:r w:rsidRPr="00EC419C">
        <w:rPr>
          <w:rFonts w:asciiTheme="minorHAnsi" w:hAnsiTheme="minorHAnsi" w:cstheme="minorHAnsi"/>
          <w:sz w:val="23"/>
          <w:szCs w:val="23"/>
        </w:rPr>
        <w:t xml:space="preserve">likely to </w:t>
      </w:r>
      <w:r w:rsidR="00655216" w:rsidRPr="00EC419C">
        <w:rPr>
          <w:rFonts w:asciiTheme="minorHAnsi" w:hAnsiTheme="minorHAnsi" w:cstheme="minorHAnsi"/>
          <w:sz w:val="23"/>
          <w:szCs w:val="23"/>
        </w:rPr>
        <w:t>drive</w:t>
      </w:r>
      <w:r w:rsidRPr="00EC419C">
        <w:rPr>
          <w:rFonts w:asciiTheme="minorHAnsi" w:hAnsiTheme="minorHAnsi" w:cstheme="minorHAnsi"/>
          <w:sz w:val="23"/>
          <w:szCs w:val="23"/>
        </w:rPr>
        <w:t xml:space="preserve"> shifts in weed community composition and abundance that could pose new challenges for </w:t>
      </w:r>
      <w:r w:rsidR="00D44DD2" w:rsidRPr="00EC419C">
        <w:rPr>
          <w:rFonts w:asciiTheme="minorHAnsi" w:hAnsiTheme="minorHAnsi" w:cstheme="minorHAnsi"/>
          <w:sz w:val="23"/>
          <w:szCs w:val="23"/>
        </w:rPr>
        <w:t>cropping systems</w:t>
      </w:r>
      <w:r w:rsidRPr="00EC419C">
        <w:rPr>
          <w:rFonts w:asciiTheme="minorHAnsi" w:hAnsiTheme="minorHAnsi" w:cstheme="minorHAnsi"/>
          <w:sz w:val="23"/>
          <w:szCs w:val="23"/>
        </w:rPr>
        <w:t xml:space="preserve">. </w:t>
      </w:r>
    </w:p>
    <w:p w14:paraId="36201E56" w14:textId="77777777" w:rsidR="006E2693" w:rsidRPr="00EC419C" w:rsidRDefault="006E2693" w:rsidP="001A0CCE">
      <w:pPr>
        <w:pStyle w:val="Default"/>
        <w:rPr>
          <w:rFonts w:asciiTheme="minorHAnsi" w:hAnsiTheme="minorHAnsi" w:cstheme="minorHAnsi"/>
          <w:sz w:val="23"/>
          <w:szCs w:val="23"/>
        </w:rPr>
      </w:pPr>
    </w:p>
    <w:p w14:paraId="132B3114" w14:textId="2A89A494" w:rsidR="00FB3CF6" w:rsidRPr="00EC419C" w:rsidRDefault="001A0CCE" w:rsidP="00FB3CF6">
      <w:pPr>
        <w:pStyle w:val="Default"/>
        <w:rPr>
          <w:rFonts w:asciiTheme="minorHAnsi" w:hAnsiTheme="minorHAnsi" w:cstheme="minorHAnsi"/>
          <w:sz w:val="23"/>
          <w:szCs w:val="23"/>
        </w:rPr>
      </w:pPr>
      <w:r w:rsidRPr="00EC419C">
        <w:rPr>
          <w:rFonts w:asciiTheme="minorHAnsi" w:hAnsiTheme="minorHAnsi" w:cstheme="minorHAnsi"/>
          <w:i/>
          <w:iCs/>
          <w:sz w:val="23"/>
          <w:szCs w:val="23"/>
        </w:rPr>
        <w:t xml:space="preserve">Warmer temperatures affect weed seed dormancy. </w:t>
      </w:r>
      <w:r w:rsidR="006D7340" w:rsidRPr="00EC419C">
        <w:rPr>
          <w:rFonts w:asciiTheme="minorHAnsi" w:hAnsiTheme="minorHAnsi" w:cstheme="minorHAnsi"/>
          <w:sz w:val="23"/>
          <w:szCs w:val="23"/>
        </w:rPr>
        <w:t xml:space="preserve">Most </w:t>
      </w:r>
      <w:r w:rsidR="00FB3CF6" w:rsidRPr="00EC419C">
        <w:rPr>
          <w:rFonts w:asciiTheme="minorHAnsi" w:hAnsiTheme="minorHAnsi" w:cstheme="minorHAnsi"/>
          <w:sz w:val="23"/>
          <w:szCs w:val="23"/>
        </w:rPr>
        <w:t xml:space="preserve">weed species </w:t>
      </w:r>
      <w:r w:rsidR="006D7340" w:rsidRPr="00EC419C">
        <w:rPr>
          <w:rFonts w:asciiTheme="minorHAnsi" w:hAnsiTheme="minorHAnsi" w:cstheme="minorHAnsi"/>
          <w:sz w:val="23"/>
          <w:szCs w:val="23"/>
        </w:rPr>
        <w:t>exhibit</w:t>
      </w:r>
      <w:r w:rsidR="00FB3CF6" w:rsidRPr="00EC419C">
        <w:rPr>
          <w:rFonts w:asciiTheme="minorHAnsi" w:hAnsiTheme="minorHAnsi" w:cstheme="minorHAnsi"/>
          <w:sz w:val="23"/>
          <w:szCs w:val="23"/>
        </w:rPr>
        <w:t xml:space="preserve"> seed dormancy </w:t>
      </w:r>
      <w:r w:rsidR="00595FCE" w:rsidRPr="00EC419C">
        <w:rPr>
          <w:rFonts w:asciiTheme="minorHAnsi" w:hAnsiTheme="minorHAnsi" w:cstheme="minorHAnsi"/>
          <w:sz w:val="23"/>
          <w:szCs w:val="23"/>
        </w:rPr>
        <w:t>(Cavers et al 1989)</w:t>
      </w:r>
      <w:r w:rsidR="00E3582B" w:rsidRPr="00EC419C">
        <w:rPr>
          <w:rFonts w:asciiTheme="minorHAnsi" w:hAnsiTheme="minorHAnsi" w:cstheme="minorHAnsi"/>
          <w:sz w:val="23"/>
          <w:szCs w:val="23"/>
        </w:rPr>
        <w:t>. Seed dormancy</w:t>
      </w:r>
      <w:r w:rsidR="00C91993" w:rsidRPr="00EC419C">
        <w:rPr>
          <w:rFonts w:asciiTheme="minorHAnsi" w:hAnsiTheme="minorHAnsi" w:cstheme="minorHAnsi"/>
          <w:sz w:val="23"/>
          <w:szCs w:val="23"/>
        </w:rPr>
        <w:t xml:space="preserve">, </w:t>
      </w:r>
      <w:r w:rsidR="00B75B4A" w:rsidRPr="00EC419C">
        <w:rPr>
          <w:rFonts w:asciiTheme="minorHAnsi" w:hAnsiTheme="minorHAnsi" w:cstheme="minorHAnsi"/>
          <w:sz w:val="23"/>
          <w:szCs w:val="23"/>
        </w:rPr>
        <w:t>which prevents</w:t>
      </w:r>
      <w:r w:rsidR="00C91993" w:rsidRPr="00EC419C">
        <w:rPr>
          <w:rFonts w:asciiTheme="minorHAnsi" w:hAnsiTheme="minorHAnsi" w:cstheme="minorHAnsi"/>
          <w:sz w:val="23"/>
          <w:szCs w:val="23"/>
        </w:rPr>
        <w:t xml:space="preserve"> germination </w:t>
      </w:r>
      <w:r w:rsidR="00B75B4A" w:rsidRPr="00EC419C">
        <w:rPr>
          <w:rFonts w:asciiTheme="minorHAnsi" w:hAnsiTheme="minorHAnsi" w:cstheme="minorHAnsi"/>
          <w:sz w:val="23"/>
          <w:szCs w:val="23"/>
        </w:rPr>
        <w:t>at times that would result in low survival</w:t>
      </w:r>
      <w:r w:rsidR="00C91993" w:rsidRPr="00EC419C">
        <w:rPr>
          <w:rFonts w:asciiTheme="minorHAnsi" w:hAnsiTheme="minorHAnsi" w:cstheme="minorHAnsi"/>
          <w:sz w:val="23"/>
          <w:szCs w:val="23"/>
        </w:rPr>
        <w:t xml:space="preserve">, </w:t>
      </w:r>
      <w:r w:rsidR="00FB3CF6" w:rsidRPr="00EC419C">
        <w:rPr>
          <w:rFonts w:asciiTheme="minorHAnsi" w:hAnsiTheme="minorHAnsi" w:cstheme="minorHAnsi"/>
          <w:sz w:val="23"/>
          <w:szCs w:val="23"/>
        </w:rPr>
        <w:t xml:space="preserve">is controlled by species-specific physiological, physical, and chemical </w:t>
      </w:r>
      <w:r w:rsidR="00202EF5" w:rsidRPr="00EC419C">
        <w:rPr>
          <w:rFonts w:asciiTheme="minorHAnsi" w:hAnsiTheme="minorHAnsi" w:cstheme="minorHAnsi"/>
          <w:sz w:val="23"/>
          <w:szCs w:val="23"/>
        </w:rPr>
        <w:t>mechanisms</w:t>
      </w:r>
      <w:r w:rsidR="00FB3CF6" w:rsidRPr="00EC419C">
        <w:rPr>
          <w:rFonts w:asciiTheme="minorHAnsi" w:hAnsiTheme="minorHAnsi" w:cstheme="minorHAnsi"/>
          <w:sz w:val="23"/>
          <w:szCs w:val="23"/>
        </w:rPr>
        <w:t xml:space="preserve"> that </w:t>
      </w:r>
      <w:r w:rsidR="00C36834" w:rsidRPr="00EC419C">
        <w:rPr>
          <w:rFonts w:asciiTheme="minorHAnsi" w:hAnsiTheme="minorHAnsi" w:cstheme="minorHAnsi"/>
          <w:sz w:val="23"/>
          <w:szCs w:val="23"/>
        </w:rPr>
        <w:t xml:space="preserve">may </w:t>
      </w:r>
      <w:r w:rsidR="00FB3CF6" w:rsidRPr="00EC419C">
        <w:rPr>
          <w:rFonts w:asciiTheme="minorHAnsi" w:hAnsiTheme="minorHAnsi" w:cstheme="minorHAnsi"/>
          <w:sz w:val="23"/>
          <w:szCs w:val="23"/>
        </w:rPr>
        <w:t>confer both dormancy and defense</w:t>
      </w:r>
      <w:r w:rsidR="00595FCE" w:rsidRPr="00EC419C">
        <w:rPr>
          <w:rFonts w:asciiTheme="minorHAnsi" w:hAnsiTheme="minorHAnsi" w:cstheme="minorHAnsi"/>
          <w:sz w:val="23"/>
          <w:szCs w:val="23"/>
        </w:rPr>
        <w:t xml:space="preserve"> (Baskin and Baskin 1989, Davis et al 2016)</w:t>
      </w:r>
      <w:r w:rsidR="00FB3CF6" w:rsidRPr="00EC419C">
        <w:rPr>
          <w:rFonts w:asciiTheme="minorHAnsi" w:hAnsiTheme="minorHAnsi" w:cstheme="minorHAnsi"/>
          <w:sz w:val="23"/>
          <w:szCs w:val="23"/>
        </w:rPr>
        <w:t xml:space="preserve">. Dormancy mechanisms are strongly influenced by temperature </w:t>
      </w:r>
      <w:r w:rsidR="00595FCE" w:rsidRPr="00EC419C">
        <w:rPr>
          <w:rFonts w:asciiTheme="minorHAnsi" w:hAnsiTheme="minorHAnsi" w:cstheme="minorHAnsi"/>
          <w:sz w:val="23"/>
          <w:szCs w:val="23"/>
        </w:rPr>
        <w:t>(</w:t>
      </w:r>
      <w:proofErr w:type="spellStart"/>
      <w:r w:rsidR="00595FCE" w:rsidRPr="00EC419C">
        <w:rPr>
          <w:rFonts w:asciiTheme="minorHAnsi" w:hAnsiTheme="minorHAnsi" w:cstheme="minorHAnsi"/>
          <w:sz w:val="23"/>
          <w:szCs w:val="23"/>
        </w:rPr>
        <w:t>Benech</w:t>
      </w:r>
      <w:proofErr w:type="spellEnd"/>
      <w:r w:rsidR="00595FCE" w:rsidRPr="00EC419C">
        <w:rPr>
          <w:rFonts w:asciiTheme="minorHAnsi" w:hAnsiTheme="minorHAnsi" w:cstheme="minorHAnsi"/>
          <w:sz w:val="23"/>
          <w:szCs w:val="23"/>
        </w:rPr>
        <w:t>-Arnold 2000)</w:t>
      </w:r>
      <w:r w:rsidR="00202EF5" w:rsidRPr="00EC419C">
        <w:rPr>
          <w:rFonts w:asciiTheme="minorHAnsi" w:hAnsiTheme="minorHAnsi" w:cstheme="minorHAnsi"/>
          <w:sz w:val="23"/>
          <w:szCs w:val="23"/>
        </w:rPr>
        <w:t xml:space="preserve">. </w:t>
      </w:r>
      <w:r w:rsidR="0070203A" w:rsidRPr="00EC419C">
        <w:rPr>
          <w:rFonts w:asciiTheme="minorHAnsi" w:hAnsiTheme="minorHAnsi" w:cstheme="minorHAnsi"/>
          <w:sz w:val="23"/>
          <w:szCs w:val="23"/>
        </w:rPr>
        <w:t>M</w:t>
      </w:r>
      <w:r w:rsidR="00B45E72" w:rsidRPr="00EC419C">
        <w:rPr>
          <w:rFonts w:asciiTheme="minorHAnsi" w:hAnsiTheme="minorHAnsi" w:cstheme="minorHAnsi"/>
          <w:sz w:val="23"/>
          <w:szCs w:val="23"/>
        </w:rPr>
        <w:t>aternal plants exposed to warmer air temperatures during seed set can produce seeds with lower dormancy levels (</w:t>
      </w:r>
      <w:proofErr w:type="spellStart"/>
      <w:r w:rsidR="00B45E72" w:rsidRPr="00EC419C">
        <w:rPr>
          <w:rFonts w:asciiTheme="minorHAnsi" w:hAnsiTheme="minorHAnsi" w:cstheme="minorHAnsi"/>
          <w:sz w:val="23"/>
          <w:szCs w:val="23"/>
        </w:rPr>
        <w:t>Gutterman</w:t>
      </w:r>
      <w:proofErr w:type="spellEnd"/>
      <w:r w:rsidR="00B45E72" w:rsidRPr="00EC419C">
        <w:rPr>
          <w:rFonts w:asciiTheme="minorHAnsi" w:hAnsiTheme="minorHAnsi" w:cstheme="minorHAnsi"/>
          <w:sz w:val="23"/>
          <w:szCs w:val="23"/>
        </w:rPr>
        <w:t xml:space="preserve"> 2000). </w:t>
      </w:r>
      <w:r w:rsidR="00F526F2" w:rsidRPr="00EC419C">
        <w:rPr>
          <w:rFonts w:asciiTheme="minorHAnsi" w:hAnsiTheme="minorHAnsi" w:cstheme="minorHAnsi"/>
          <w:sz w:val="23"/>
          <w:szCs w:val="23"/>
        </w:rPr>
        <w:t>W</w:t>
      </w:r>
      <w:r w:rsidR="00FB3CF6" w:rsidRPr="00EC419C">
        <w:rPr>
          <w:rFonts w:asciiTheme="minorHAnsi" w:hAnsiTheme="minorHAnsi" w:cstheme="minorHAnsi"/>
          <w:sz w:val="23"/>
          <w:szCs w:val="23"/>
        </w:rPr>
        <w:t xml:space="preserve">armer temperatures following seed dispersal can increase the rate of after-ripening and thus the fraction of </w:t>
      </w:r>
      <w:proofErr w:type="spellStart"/>
      <w:r w:rsidR="00FB3CF6" w:rsidRPr="00EC419C">
        <w:rPr>
          <w:rFonts w:asciiTheme="minorHAnsi" w:hAnsiTheme="minorHAnsi" w:cstheme="minorHAnsi"/>
          <w:sz w:val="23"/>
          <w:szCs w:val="23"/>
        </w:rPr>
        <w:t>germinable</w:t>
      </w:r>
      <w:proofErr w:type="spellEnd"/>
      <w:r w:rsidR="00FB3CF6" w:rsidRPr="00EC419C">
        <w:rPr>
          <w:rFonts w:asciiTheme="minorHAnsi" w:hAnsiTheme="minorHAnsi" w:cstheme="minorHAnsi"/>
          <w:sz w:val="23"/>
          <w:szCs w:val="23"/>
        </w:rPr>
        <w:t xml:space="preserve"> weed seeds within the soil </w:t>
      </w:r>
      <w:r w:rsidR="00595FCE" w:rsidRPr="00EC419C">
        <w:rPr>
          <w:rFonts w:asciiTheme="minorHAnsi" w:hAnsiTheme="minorHAnsi" w:cstheme="minorHAnsi"/>
          <w:sz w:val="23"/>
          <w:szCs w:val="23"/>
        </w:rPr>
        <w:t>(Dwyer 2016)</w:t>
      </w:r>
      <w:r w:rsidR="00FB3CF6" w:rsidRPr="00EC419C">
        <w:rPr>
          <w:rFonts w:asciiTheme="minorHAnsi" w:hAnsiTheme="minorHAnsi" w:cstheme="minorHAnsi"/>
          <w:sz w:val="23"/>
          <w:szCs w:val="23"/>
        </w:rPr>
        <w:t xml:space="preserve">. </w:t>
      </w:r>
    </w:p>
    <w:p w14:paraId="73F3B199" w14:textId="7B068356" w:rsidR="001A0CCE" w:rsidRPr="00EC419C" w:rsidRDefault="001A0CCE" w:rsidP="001A0CCE">
      <w:pPr>
        <w:pStyle w:val="Default"/>
        <w:rPr>
          <w:rFonts w:asciiTheme="minorHAnsi" w:hAnsiTheme="minorHAnsi" w:cstheme="minorHAnsi"/>
          <w:sz w:val="23"/>
          <w:szCs w:val="23"/>
        </w:rPr>
      </w:pPr>
    </w:p>
    <w:p w14:paraId="66F12E32" w14:textId="0D70FAD6" w:rsidR="001A0CCE" w:rsidRPr="00EC419C" w:rsidRDefault="001A0CCE" w:rsidP="001A0CCE">
      <w:pPr>
        <w:pStyle w:val="Default"/>
        <w:rPr>
          <w:rFonts w:asciiTheme="minorHAnsi" w:hAnsiTheme="minorHAnsi" w:cstheme="minorHAnsi"/>
          <w:sz w:val="23"/>
          <w:szCs w:val="23"/>
        </w:rPr>
      </w:pPr>
      <w:r w:rsidRPr="00EC419C">
        <w:rPr>
          <w:rFonts w:asciiTheme="minorHAnsi" w:hAnsiTheme="minorHAnsi" w:cstheme="minorHAnsi"/>
          <w:i/>
          <w:iCs/>
          <w:sz w:val="23"/>
          <w:szCs w:val="23"/>
        </w:rPr>
        <w:t>Increased soil freeze</w:t>
      </w:r>
      <w:r w:rsidR="00F526F2" w:rsidRPr="00EC419C">
        <w:rPr>
          <w:rFonts w:asciiTheme="minorHAnsi" w:hAnsiTheme="minorHAnsi" w:cstheme="minorHAnsi"/>
          <w:i/>
          <w:iCs/>
          <w:sz w:val="23"/>
          <w:szCs w:val="23"/>
        </w:rPr>
        <w:t>-</w:t>
      </w:r>
      <w:r w:rsidRPr="00EC419C">
        <w:rPr>
          <w:rFonts w:asciiTheme="minorHAnsi" w:hAnsiTheme="minorHAnsi" w:cstheme="minorHAnsi"/>
          <w:i/>
          <w:iCs/>
          <w:sz w:val="23"/>
          <w:szCs w:val="23"/>
        </w:rPr>
        <w:t xml:space="preserve">thaw cycles and warmer temperatures affect seed longevity. </w:t>
      </w:r>
      <w:r w:rsidRPr="00EC419C">
        <w:rPr>
          <w:rFonts w:asciiTheme="minorHAnsi" w:hAnsiTheme="minorHAnsi" w:cstheme="minorHAnsi"/>
          <w:sz w:val="23"/>
          <w:szCs w:val="23"/>
        </w:rPr>
        <w:t xml:space="preserve">Soil freeze-thaw cycles directly affect </w:t>
      </w:r>
      <w:r w:rsidR="00D05E05" w:rsidRPr="00EC419C">
        <w:rPr>
          <w:rFonts w:asciiTheme="minorHAnsi" w:hAnsiTheme="minorHAnsi" w:cstheme="minorHAnsi"/>
          <w:sz w:val="23"/>
          <w:szCs w:val="23"/>
        </w:rPr>
        <w:t xml:space="preserve">weed </w:t>
      </w:r>
      <w:r w:rsidRPr="00EC419C">
        <w:rPr>
          <w:rFonts w:asciiTheme="minorHAnsi" w:hAnsiTheme="minorHAnsi" w:cstheme="minorHAnsi"/>
          <w:sz w:val="23"/>
          <w:szCs w:val="23"/>
        </w:rPr>
        <w:t xml:space="preserve">seed persistence by breaking down hard seed coats </w:t>
      </w:r>
      <w:r w:rsidR="00595FCE" w:rsidRPr="00EC419C">
        <w:rPr>
          <w:rFonts w:asciiTheme="minorHAnsi" w:hAnsiTheme="minorHAnsi" w:cstheme="minorHAnsi"/>
          <w:sz w:val="23"/>
          <w:szCs w:val="23"/>
        </w:rPr>
        <w:t>(Baskin and Baskin 2014)</w:t>
      </w:r>
      <w:r w:rsidRPr="00EC419C">
        <w:rPr>
          <w:rFonts w:asciiTheme="minorHAnsi" w:hAnsiTheme="minorHAnsi" w:cstheme="minorHAnsi"/>
          <w:sz w:val="23"/>
          <w:szCs w:val="23"/>
        </w:rPr>
        <w:t xml:space="preserve">. </w:t>
      </w:r>
      <w:r w:rsidR="0070203A" w:rsidRPr="00EC419C">
        <w:rPr>
          <w:rFonts w:asciiTheme="minorHAnsi" w:hAnsiTheme="minorHAnsi" w:cstheme="minorHAnsi"/>
          <w:sz w:val="23"/>
          <w:szCs w:val="23"/>
        </w:rPr>
        <w:t>In species with physical dormancy, f</w:t>
      </w:r>
      <w:r w:rsidRPr="00EC419C">
        <w:rPr>
          <w:rFonts w:asciiTheme="minorHAnsi" w:hAnsiTheme="minorHAnsi" w:cstheme="minorHAnsi"/>
          <w:sz w:val="23"/>
          <w:szCs w:val="23"/>
        </w:rPr>
        <w:t xml:space="preserve">ractures to the weed seed coat release dormancy and </w:t>
      </w:r>
      <w:r w:rsidR="0070203A" w:rsidRPr="00EC419C">
        <w:rPr>
          <w:rFonts w:asciiTheme="minorHAnsi" w:hAnsiTheme="minorHAnsi" w:cstheme="minorHAnsi"/>
          <w:sz w:val="23"/>
          <w:szCs w:val="23"/>
        </w:rPr>
        <w:t xml:space="preserve">thereby </w:t>
      </w:r>
      <w:r w:rsidRPr="00EC419C">
        <w:rPr>
          <w:rFonts w:asciiTheme="minorHAnsi" w:hAnsiTheme="minorHAnsi" w:cstheme="minorHAnsi"/>
          <w:sz w:val="23"/>
          <w:szCs w:val="23"/>
        </w:rPr>
        <w:t>increase germination</w:t>
      </w:r>
      <w:r w:rsidR="0070203A" w:rsidRPr="00EC419C">
        <w:rPr>
          <w:rFonts w:asciiTheme="minorHAnsi" w:hAnsiTheme="minorHAnsi" w:cstheme="minorHAnsi"/>
          <w:sz w:val="23"/>
          <w:szCs w:val="23"/>
        </w:rPr>
        <w:t xml:space="preserve">, </w:t>
      </w:r>
      <w:r w:rsidRPr="00EC419C">
        <w:rPr>
          <w:rFonts w:asciiTheme="minorHAnsi" w:hAnsiTheme="minorHAnsi" w:cstheme="minorHAnsi"/>
          <w:sz w:val="23"/>
          <w:szCs w:val="23"/>
        </w:rPr>
        <w:t xml:space="preserve">emergence, </w:t>
      </w:r>
      <w:r w:rsidR="0070203A" w:rsidRPr="00EC419C">
        <w:rPr>
          <w:rFonts w:asciiTheme="minorHAnsi" w:hAnsiTheme="minorHAnsi" w:cstheme="minorHAnsi"/>
          <w:sz w:val="23"/>
          <w:szCs w:val="23"/>
        </w:rPr>
        <w:t>and</w:t>
      </w:r>
      <w:r w:rsidRPr="00EC419C">
        <w:rPr>
          <w:rFonts w:asciiTheme="minorHAnsi" w:hAnsiTheme="minorHAnsi" w:cstheme="minorHAnsi"/>
          <w:sz w:val="23"/>
          <w:szCs w:val="23"/>
        </w:rPr>
        <w:t xml:space="preserve"> recruit</w:t>
      </w:r>
      <w:r w:rsidR="0070203A" w:rsidRPr="00EC419C">
        <w:rPr>
          <w:rFonts w:asciiTheme="minorHAnsi" w:hAnsiTheme="minorHAnsi" w:cstheme="minorHAnsi"/>
          <w:sz w:val="23"/>
          <w:szCs w:val="23"/>
        </w:rPr>
        <w:t>ment</w:t>
      </w:r>
      <w:r w:rsidRPr="00EC419C">
        <w:rPr>
          <w:rFonts w:asciiTheme="minorHAnsi" w:hAnsiTheme="minorHAnsi" w:cstheme="minorHAnsi"/>
          <w:sz w:val="23"/>
          <w:szCs w:val="23"/>
        </w:rPr>
        <w:t>. Fracturing of the seed coat also increase</w:t>
      </w:r>
      <w:r w:rsidR="0070203A" w:rsidRPr="00EC419C">
        <w:rPr>
          <w:rFonts w:asciiTheme="minorHAnsi" w:hAnsiTheme="minorHAnsi" w:cstheme="minorHAnsi"/>
          <w:sz w:val="23"/>
          <w:szCs w:val="23"/>
        </w:rPr>
        <w:t>s</w:t>
      </w:r>
      <w:r w:rsidRPr="00EC419C">
        <w:rPr>
          <w:rFonts w:asciiTheme="minorHAnsi" w:hAnsiTheme="minorHAnsi" w:cstheme="minorHAnsi"/>
          <w:sz w:val="23"/>
          <w:szCs w:val="23"/>
        </w:rPr>
        <w:t xml:space="preserve"> vulnerability to soil pathogens and decay </w:t>
      </w:r>
      <w:r w:rsidR="00595FCE" w:rsidRPr="00EC419C">
        <w:rPr>
          <w:rFonts w:asciiTheme="minorHAnsi" w:hAnsiTheme="minorHAnsi" w:cstheme="minorHAnsi"/>
          <w:sz w:val="23"/>
          <w:szCs w:val="23"/>
        </w:rPr>
        <w:t xml:space="preserve">(Connolly and </w:t>
      </w:r>
      <w:proofErr w:type="spellStart"/>
      <w:r w:rsidR="00595FCE" w:rsidRPr="00EC419C">
        <w:rPr>
          <w:rFonts w:asciiTheme="minorHAnsi" w:hAnsiTheme="minorHAnsi" w:cstheme="minorHAnsi"/>
          <w:sz w:val="23"/>
          <w:szCs w:val="23"/>
        </w:rPr>
        <w:t>Orrock</w:t>
      </w:r>
      <w:proofErr w:type="spellEnd"/>
      <w:r w:rsidR="00595FCE" w:rsidRPr="00EC419C">
        <w:rPr>
          <w:rFonts w:asciiTheme="minorHAnsi" w:hAnsiTheme="minorHAnsi" w:cstheme="minorHAnsi"/>
          <w:sz w:val="23"/>
          <w:szCs w:val="23"/>
        </w:rPr>
        <w:t xml:space="preserve"> 2015)</w:t>
      </w:r>
      <w:r w:rsidRPr="00EC419C">
        <w:rPr>
          <w:rFonts w:asciiTheme="minorHAnsi" w:hAnsiTheme="minorHAnsi" w:cstheme="minorHAnsi"/>
          <w:sz w:val="23"/>
          <w:szCs w:val="23"/>
        </w:rPr>
        <w:t xml:space="preserve">. </w:t>
      </w:r>
      <w:r w:rsidR="009F026C" w:rsidRPr="00EC419C">
        <w:rPr>
          <w:rFonts w:asciiTheme="minorHAnsi" w:hAnsiTheme="minorHAnsi" w:cstheme="minorHAnsi"/>
          <w:sz w:val="23"/>
          <w:szCs w:val="23"/>
        </w:rPr>
        <w:t>Indirect effects of i</w:t>
      </w:r>
      <w:r w:rsidRPr="00EC419C">
        <w:rPr>
          <w:rFonts w:asciiTheme="minorHAnsi" w:hAnsiTheme="minorHAnsi" w:cstheme="minorHAnsi"/>
          <w:sz w:val="23"/>
          <w:szCs w:val="23"/>
        </w:rPr>
        <w:t>ncreas</w:t>
      </w:r>
      <w:r w:rsidR="00701338" w:rsidRPr="00EC419C">
        <w:rPr>
          <w:rFonts w:asciiTheme="minorHAnsi" w:hAnsiTheme="minorHAnsi" w:cstheme="minorHAnsi"/>
          <w:sz w:val="23"/>
          <w:szCs w:val="23"/>
        </w:rPr>
        <w:t>ed</w:t>
      </w:r>
      <w:r w:rsidRPr="00EC419C">
        <w:rPr>
          <w:rFonts w:asciiTheme="minorHAnsi" w:hAnsiTheme="minorHAnsi" w:cstheme="minorHAnsi"/>
          <w:sz w:val="23"/>
          <w:szCs w:val="23"/>
        </w:rPr>
        <w:t xml:space="preserve"> soil temperatures and freeze-thaw </w:t>
      </w:r>
      <w:r w:rsidR="009F026C" w:rsidRPr="00EC419C">
        <w:rPr>
          <w:rFonts w:asciiTheme="minorHAnsi" w:hAnsiTheme="minorHAnsi" w:cstheme="minorHAnsi"/>
          <w:sz w:val="23"/>
          <w:szCs w:val="23"/>
        </w:rPr>
        <w:t>cycles on</w:t>
      </w:r>
      <w:r w:rsidRPr="00EC419C">
        <w:rPr>
          <w:rFonts w:asciiTheme="minorHAnsi" w:hAnsiTheme="minorHAnsi" w:cstheme="minorHAnsi"/>
          <w:sz w:val="23"/>
          <w:szCs w:val="23"/>
        </w:rPr>
        <w:t xml:space="preserve"> seed longevity </w:t>
      </w:r>
      <w:r w:rsidR="009F026C" w:rsidRPr="00EC419C">
        <w:rPr>
          <w:rFonts w:asciiTheme="minorHAnsi" w:hAnsiTheme="minorHAnsi" w:cstheme="minorHAnsi"/>
          <w:sz w:val="23"/>
          <w:szCs w:val="23"/>
        </w:rPr>
        <w:t>may be mediated by increased activity of pathogenic fungi and other</w:t>
      </w:r>
      <w:r w:rsidRPr="00EC419C">
        <w:rPr>
          <w:rFonts w:asciiTheme="minorHAnsi" w:hAnsiTheme="minorHAnsi" w:cstheme="minorHAnsi"/>
          <w:sz w:val="23"/>
          <w:szCs w:val="23"/>
        </w:rPr>
        <w:t xml:space="preserve"> </w:t>
      </w:r>
      <w:r w:rsidR="009F026C" w:rsidRPr="00EC419C">
        <w:rPr>
          <w:rFonts w:asciiTheme="minorHAnsi" w:hAnsiTheme="minorHAnsi" w:cstheme="minorHAnsi"/>
          <w:sz w:val="23"/>
          <w:szCs w:val="23"/>
        </w:rPr>
        <w:t>microorganisms</w:t>
      </w:r>
      <w:r w:rsidRPr="00EC419C">
        <w:rPr>
          <w:rFonts w:asciiTheme="minorHAnsi" w:hAnsiTheme="minorHAnsi" w:cstheme="minorHAnsi"/>
          <w:sz w:val="23"/>
          <w:szCs w:val="23"/>
        </w:rPr>
        <w:t xml:space="preserve"> </w:t>
      </w:r>
      <w:r w:rsidR="00595FCE" w:rsidRPr="00EC419C">
        <w:rPr>
          <w:rFonts w:asciiTheme="minorHAnsi" w:hAnsiTheme="minorHAnsi" w:cstheme="minorHAnsi"/>
          <w:sz w:val="23"/>
          <w:szCs w:val="23"/>
        </w:rPr>
        <w:t>(Classen et al 2015)</w:t>
      </w:r>
      <w:r w:rsidRPr="00EC419C">
        <w:rPr>
          <w:rFonts w:asciiTheme="minorHAnsi" w:hAnsiTheme="minorHAnsi" w:cstheme="minorHAnsi"/>
          <w:sz w:val="23"/>
          <w:szCs w:val="23"/>
        </w:rPr>
        <w:t xml:space="preserve">. </w:t>
      </w:r>
      <w:r w:rsidR="00BC6FDC" w:rsidRPr="00EC419C">
        <w:rPr>
          <w:rFonts w:asciiTheme="minorHAnsi" w:hAnsiTheme="minorHAnsi" w:cstheme="minorHAnsi"/>
          <w:sz w:val="23"/>
          <w:szCs w:val="23"/>
        </w:rPr>
        <w:t>Another indirect effect is that s</w:t>
      </w:r>
      <w:r w:rsidRPr="00EC419C">
        <w:rPr>
          <w:rFonts w:asciiTheme="minorHAnsi" w:hAnsiTheme="minorHAnsi" w:cstheme="minorHAnsi"/>
          <w:sz w:val="23"/>
          <w:szCs w:val="23"/>
        </w:rPr>
        <w:t xml:space="preserve">oil heaving associated with freeze-thaw cycles </w:t>
      </w:r>
      <w:r w:rsidR="00BC6FDC" w:rsidRPr="00EC419C">
        <w:rPr>
          <w:rFonts w:asciiTheme="minorHAnsi" w:hAnsiTheme="minorHAnsi" w:cstheme="minorHAnsi"/>
          <w:sz w:val="23"/>
          <w:szCs w:val="23"/>
        </w:rPr>
        <w:t>moves</w:t>
      </w:r>
      <w:r w:rsidRPr="00EC419C">
        <w:rPr>
          <w:rFonts w:asciiTheme="minorHAnsi" w:hAnsiTheme="minorHAnsi" w:cstheme="minorHAnsi"/>
          <w:sz w:val="23"/>
          <w:szCs w:val="23"/>
        </w:rPr>
        <w:t xml:space="preserve"> weed seeds in the soil</w:t>
      </w:r>
      <w:r w:rsidR="00701338" w:rsidRPr="00EC419C">
        <w:rPr>
          <w:rFonts w:asciiTheme="minorHAnsi" w:hAnsiTheme="minorHAnsi" w:cstheme="minorHAnsi"/>
          <w:sz w:val="23"/>
          <w:szCs w:val="23"/>
        </w:rPr>
        <w:t xml:space="preserve"> profile</w:t>
      </w:r>
      <w:r w:rsidRPr="00EC419C">
        <w:rPr>
          <w:rFonts w:asciiTheme="minorHAnsi" w:hAnsiTheme="minorHAnsi" w:cstheme="minorHAnsi"/>
          <w:sz w:val="23"/>
          <w:szCs w:val="23"/>
        </w:rPr>
        <w:t xml:space="preserve"> </w:t>
      </w:r>
      <w:r w:rsidR="00595FCE" w:rsidRPr="00EC419C">
        <w:rPr>
          <w:rFonts w:asciiTheme="minorHAnsi" w:hAnsiTheme="minorHAnsi" w:cstheme="minorHAnsi"/>
          <w:sz w:val="23"/>
          <w:szCs w:val="23"/>
        </w:rPr>
        <w:t xml:space="preserve">(Chambers and </w:t>
      </w:r>
      <w:proofErr w:type="spellStart"/>
      <w:r w:rsidR="00595FCE" w:rsidRPr="00EC419C">
        <w:rPr>
          <w:rFonts w:asciiTheme="minorHAnsi" w:hAnsiTheme="minorHAnsi" w:cstheme="minorHAnsi"/>
          <w:sz w:val="23"/>
          <w:szCs w:val="23"/>
        </w:rPr>
        <w:t>Macmahon</w:t>
      </w:r>
      <w:proofErr w:type="spellEnd"/>
      <w:r w:rsidR="00595FCE" w:rsidRPr="00EC419C">
        <w:rPr>
          <w:rFonts w:asciiTheme="minorHAnsi" w:hAnsiTheme="minorHAnsi" w:cstheme="minorHAnsi"/>
          <w:sz w:val="23"/>
          <w:szCs w:val="23"/>
        </w:rPr>
        <w:t xml:space="preserve"> 1994)</w:t>
      </w:r>
      <w:r w:rsidR="00BC6FDC" w:rsidRPr="00EC419C">
        <w:rPr>
          <w:rFonts w:asciiTheme="minorHAnsi" w:hAnsiTheme="minorHAnsi" w:cstheme="minorHAnsi"/>
          <w:sz w:val="23"/>
          <w:szCs w:val="23"/>
        </w:rPr>
        <w:t xml:space="preserve">. </w:t>
      </w:r>
      <w:r w:rsidR="00CE2C84" w:rsidRPr="00EC419C">
        <w:rPr>
          <w:rFonts w:asciiTheme="minorHAnsi" w:hAnsiTheme="minorHAnsi" w:cstheme="minorHAnsi"/>
          <w:sz w:val="23"/>
          <w:szCs w:val="23"/>
        </w:rPr>
        <w:t xml:space="preserve">Some seeds are moved into </w:t>
      </w:r>
      <w:r w:rsidR="00701338" w:rsidRPr="00EC419C">
        <w:rPr>
          <w:rFonts w:asciiTheme="minorHAnsi" w:hAnsiTheme="minorHAnsi" w:cstheme="minorHAnsi"/>
          <w:sz w:val="23"/>
          <w:szCs w:val="23"/>
        </w:rPr>
        <w:t>deeper layers</w:t>
      </w:r>
      <w:r w:rsidRPr="00EC419C">
        <w:rPr>
          <w:rFonts w:asciiTheme="minorHAnsi" w:hAnsiTheme="minorHAnsi" w:cstheme="minorHAnsi"/>
          <w:sz w:val="23"/>
          <w:szCs w:val="23"/>
        </w:rPr>
        <w:t xml:space="preserve"> where they are more protected from seed predators </w:t>
      </w:r>
      <w:r w:rsidR="00595FCE" w:rsidRPr="00EC419C">
        <w:rPr>
          <w:rFonts w:asciiTheme="minorHAnsi" w:hAnsiTheme="minorHAnsi" w:cstheme="minorHAnsi"/>
          <w:sz w:val="23"/>
          <w:szCs w:val="23"/>
        </w:rPr>
        <w:t xml:space="preserve">(Omani et al 1999, </w:t>
      </w:r>
      <w:proofErr w:type="spellStart"/>
      <w:r w:rsidR="00595FCE" w:rsidRPr="00EC419C">
        <w:rPr>
          <w:rFonts w:asciiTheme="minorHAnsi" w:hAnsiTheme="minorHAnsi" w:cstheme="minorHAnsi"/>
          <w:sz w:val="23"/>
          <w:szCs w:val="23"/>
        </w:rPr>
        <w:t>Korres</w:t>
      </w:r>
      <w:proofErr w:type="spellEnd"/>
      <w:r w:rsidR="00595FCE" w:rsidRPr="00EC419C">
        <w:rPr>
          <w:rFonts w:asciiTheme="minorHAnsi" w:hAnsiTheme="minorHAnsi" w:cstheme="minorHAnsi"/>
          <w:sz w:val="23"/>
          <w:szCs w:val="23"/>
        </w:rPr>
        <w:t xml:space="preserve"> et al 2018)</w:t>
      </w:r>
      <w:r w:rsidRPr="00EC419C">
        <w:rPr>
          <w:rFonts w:asciiTheme="minorHAnsi" w:hAnsiTheme="minorHAnsi" w:cstheme="minorHAnsi"/>
          <w:sz w:val="23"/>
          <w:szCs w:val="23"/>
        </w:rPr>
        <w:t xml:space="preserve">. </w:t>
      </w:r>
    </w:p>
    <w:p w14:paraId="72AD3159" w14:textId="101DFA17" w:rsidR="001A0CCE" w:rsidRPr="00D44DD2" w:rsidRDefault="001A0CCE" w:rsidP="001A0CCE">
      <w:pPr>
        <w:rPr>
          <w:rFonts w:cstheme="minorHAnsi"/>
        </w:rPr>
      </w:pPr>
    </w:p>
    <w:p w14:paraId="252D71D8" w14:textId="77777777" w:rsidR="00FB3CF6" w:rsidRPr="00D44DD2" w:rsidRDefault="00FB3CF6" w:rsidP="00FB3CF6">
      <w:pPr>
        <w:rPr>
          <w:rFonts w:cstheme="minorHAnsi"/>
          <w:b/>
        </w:rPr>
      </w:pPr>
      <w:r w:rsidRPr="00D44DD2">
        <w:rPr>
          <w:rFonts w:cstheme="minorHAnsi"/>
          <w:b/>
        </w:rPr>
        <w:t xml:space="preserve">Importance of the Work </w:t>
      </w:r>
    </w:p>
    <w:p w14:paraId="6C33F9F4" w14:textId="13695E00" w:rsidR="00FB3CF6" w:rsidRDefault="00FB3CF6" w:rsidP="00FB3CF6">
      <w:r w:rsidRPr="00D44DD2">
        <w:rPr>
          <w:rFonts w:cstheme="minorHAnsi"/>
        </w:rPr>
        <w:t xml:space="preserve">Weed management is a priority issue for Northeastern farmers, particularly </w:t>
      </w:r>
      <w:r w:rsidR="006D55F1" w:rsidRPr="00D44DD2">
        <w:rPr>
          <w:rFonts w:cstheme="minorHAnsi"/>
        </w:rPr>
        <w:t xml:space="preserve">given </w:t>
      </w:r>
      <w:r w:rsidRPr="00D44DD2">
        <w:rPr>
          <w:rFonts w:cstheme="minorHAnsi"/>
        </w:rPr>
        <w:t>the increasing</w:t>
      </w:r>
      <w:r>
        <w:t xml:space="preserve"> prevalence of organic production, the rise of herbicide</w:t>
      </w:r>
      <w:r w:rsidR="00EF4F6B">
        <w:t>-</w:t>
      </w:r>
      <w:r>
        <w:t xml:space="preserve">resistant weeds, and the recent increase in small farms and urban farming. </w:t>
      </w:r>
      <w:r w:rsidR="00556AD4">
        <w:t xml:space="preserve">Interest in local food is also </w:t>
      </w:r>
      <w:r>
        <w:t xml:space="preserve">increasing, </w:t>
      </w:r>
      <w:r w:rsidR="00A91D7A">
        <w:t>so</w:t>
      </w:r>
      <w:r>
        <w:t xml:space="preserve"> specific, </w:t>
      </w:r>
      <w:proofErr w:type="gramStart"/>
      <w:r>
        <w:t>regionally-focused</w:t>
      </w:r>
      <w:proofErr w:type="gramEnd"/>
      <w:r>
        <w:t xml:space="preserve"> data and tools </w:t>
      </w:r>
      <w:r w:rsidR="00A91D7A">
        <w:t xml:space="preserve">for Northeastern management </w:t>
      </w:r>
      <w:r>
        <w:t xml:space="preserve">could provide great benefits to growers and consumers while reducing negative impacts on the environment. Weed management </w:t>
      </w:r>
      <w:r w:rsidR="00E67C97">
        <w:t>cause major yield losses in</w:t>
      </w:r>
      <w:r>
        <w:t xml:space="preserve"> organic </w:t>
      </w:r>
      <w:r w:rsidR="00E67C97">
        <w:lastRenderedPageBreak/>
        <w:t xml:space="preserve">production </w:t>
      </w:r>
      <w:r>
        <w:t xml:space="preserve">(Baker &amp; Mohler 2014; Jerkins &amp; </w:t>
      </w:r>
      <w:proofErr w:type="spellStart"/>
      <w:r>
        <w:t>Ory</w:t>
      </w:r>
      <w:proofErr w:type="spellEnd"/>
      <w:r>
        <w:t xml:space="preserve"> 2016). Yield losses to weed competition are an increasing problem for conventional farmers as well, as the incidence of herbicide</w:t>
      </w:r>
      <w:r w:rsidR="00E67C97">
        <w:t>-</w:t>
      </w:r>
      <w:r>
        <w:t xml:space="preserve">resistant weeds continues to increase (Heap 2018). </w:t>
      </w:r>
      <w:r w:rsidR="00FF519A">
        <w:t xml:space="preserve">Preventing yield losses requires </w:t>
      </w:r>
      <w:r w:rsidR="00EE4EFA">
        <w:t>weed management operations</w:t>
      </w:r>
      <w:r w:rsidR="00162FAB">
        <w:t xml:space="preserve"> such as cultivation or herbicide</w:t>
      </w:r>
      <w:r w:rsidR="00EE4EFA">
        <w:t xml:space="preserve"> application</w:t>
      </w:r>
      <w:r w:rsidR="00162FAB">
        <w:t xml:space="preserve">s </w:t>
      </w:r>
      <w:r w:rsidR="00D44DD2">
        <w:t xml:space="preserve">conducted </w:t>
      </w:r>
      <w:r w:rsidR="00162FAB">
        <w:t xml:space="preserve">at the proper time. </w:t>
      </w:r>
      <w:r>
        <w:t>The failure to account for the temporal variability of emergence can result in mistimed application of</w:t>
      </w:r>
      <w:r w:rsidR="00162FAB">
        <w:t xml:space="preserve"> these</w:t>
      </w:r>
      <w:r>
        <w:t xml:space="preserve"> control measures,</w:t>
      </w:r>
      <w:r w:rsidR="00162FAB">
        <w:t xml:space="preserve"> leading to </w:t>
      </w:r>
      <w:r w:rsidR="009C1DE8">
        <w:t>poor</w:t>
      </w:r>
      <w:r w:rsidR="00162FAB">
        <w:t xml:space="preserve"> efficacy</w:t>
      </w:r>
      <w:r w:rsidR="00C96504">
        <w:t>.</w:t>
      </w:r>
      <w:r>
        <w:t xml:space="preserve"> </w:t>
      </w:r>
      <w:r w:rsidR="00C96504">
        <w:t>P</w:t>
      </w:r>
      <w:r>
        <w:t xml:space="preserve">oor </w:t>
      </w:r>
      <w:r w:rsidR="009C1DE8">
        <w:t xml:space="preserve">efficacy </w:t>
      </w:r>
      <w:r w:rsidR="00C96504">
        <w:t xml:space="preserve">may </w:t>
      </w:r>
      <w:r>
        <w:t>necessitat</w:t>
      </w:r>
      <w:r w:rsidR="00C96504">
        <w:t>e</w:t>
      </w:r>
      <w:r>
        <w:t xml:space="preserve"> repeated </w:t>
      </w:r>
      <w:r w:rsidR="00C96504">
        <w:t xml:space="preserve">operations </w:t>
      </w:r>
      <w:r>
        <w:t xml:space="preserve">that are not only costly to the farmers, but also hazardous to our environment. </w:t>
      </w:r>
      <w:r w:rsidR="00C96504">
        <w:t>Thus, b</w:t>
      </w:r>
      <w:r>
        <w:t xml:space="preserve">etter timed and more effective use of herbicides and/or cultivation </w:t>
      </w:r>
      <w:r w:rsidR="009C1DE8">
        <w:t>will protect yield and minimize unintended consequences like the</w:t>
      </w:r>
      <w:r>
        <w:t xml:space="preserve"> </w:t>
      </w:r>
      <w:r w:rsidR="009C1DE8">
        <w:t xml:space="preserve">spread </w:t>
      </w:r>
      <w:r>
        <w:t xml:space="preserve">of herbicide resistance.       </w:t>
      </w:r>
    </w:p>
    <w:p w14:paraId="5B753EDD" w14:textId="1288795C" w:rsidR="00FB3CF6" w:rsidRDefault="00B07495" w:rsidP="00FB3CF6">
      <w:r>
        <w:t xml:space="preserve">As the climate warms, changes to </w:t>
      </w:r>
      <w:r w:rsidR="00FB3CF6">
        <w:t xml:space="preserve">weed emergence </w:t>
      </w:r>
      <w:r>
        <w:t xml:space="preserve">patterns </w:t>
      </w:r>
      <w:r w:rsidR="00FB3CF6">
        <w:t xml:space="preserve">or </w:t>
      </w:r>
      <w:r>
        <w:t>weed community composition</w:t>
      </w:r>
      <w:r w:rsidR="00FB3CF6">
        <w:t xml:space="preserve"> </w:t>
      </w:r>
      <w:r>
        <w:t>are likely to</w:t>
      </w:r>
      <w:r w:rsidR="00FB3CF6">
        <w:t xml:space="preserve"> impact </w:t>
      </w:r>
      <w:r w:rsidR="008F5C54">
        <w:t xml:space="preserve">crop </w:t>
      </w:r>
      <w:r w:rsidR="00FB3CF6">
        <w:t xml:space="preserve">yield and farm profitability. </w:t>
      </w:r>
      <w:r>
        <w:t>A</w:t>
      </w:r>
      <w:r w:rsidR="00FB3CF6">
        <w:t xml:space="preserve">ccurate predictions </w:t>
      </w:r>
      <w:r>
        <w:t>about near-term effects of increased temperatures on</w:t>
      </w:r>
      <w:r w:rsidR="00FB3CF6">
        <w:t xml:space="preserve"> weed communities </w:t>
      </w:r>
      <w:r>
        <w:t>will</w:t>
      </w:r>
      <w:r w:rsidR="00FB3CF6">
        <w:t xml:space="preserve"> allow farmers</w:t>
      </w:r>
      <w:r w:rsidR="0023009E">
        <w:t xml:space="preserve"> throughout the Northeast region</w:t>
      </w:r>
      <w:r w:rsidR="00FB3CF6">
        <w:t xml:space="preserve"> to proactively </w:t>
      </w:r>
      <w:r>
        <w:t xml:space="preserve">respond </w:t>
      </w:r>
      <w:r w:rsidR="00FB3CF6">
        <w:t xml:space="preserve">to these changes.                                    </w:t>
      </w:r>
    </w:p>
    <w:p w14:paraId="690FFB6D" w14:textId="41FC7AF3" w:rsidR="00FB3CF6" w:rsidRDefault="00FB3CF6" w:rsidP="001A0CCE"/>
    <w:p w14:paraId="09ACF3EF" w14:textId="629C6F51" w:rsidR="008C45A8" w:rsidRDefault="008A2917" w:rsidP="008C45A8">
      <w:pPr>
        <w:rPr>
          <w:b/>
        </w:rPr>
      </w:pPr>
      <w:r>
        <w:rPr>
          <w:noProof/>
        </w:rPr>
        <mc:AlternateContent>
          <mc:Choice Requires="wps">
            <w:drawing>
              <wp:anchor distT="0" distB="0" distL="114300" distR="114300" simplePos="0" relativeHeight="251660288" behindDoc="0" locked="0" layoutInCell="1" allowOverlap="1" wp14:anchorId="05255AAC" wp14:editId="224CCE1C">
                <wp:simplePos x="0" y="0"/>
                <wp:positionH relativeFrom="margin">
                  <wp:align>left</wp:align>
                </wp:positionH>
                <wp:positionV relativeFrom="paragraph">
                  <wp:posOffset>1852930</wp:posOffset>
                </wp:positionV>
                <wp:extent cx="594360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7795207" w14:textId="55A1CF91" w:rsidR="007B6EED" w:rsidRPr="00EC419C" w:rsidRDefault="007B6EED" w:rsidP="007B6EED">
                            <w:pPr>
                              <w:pStyle w:val="Caption"/>
                              <w:rPr>
                                <w:i w:val="0"/>
                                <w:iCs w:val="0"/>
                                <w:noProof/>
                                <w:color w:val="auto"/>
                                <w:sz w:val="24"/>
                                <w:szCs w:val="24"/>
                              </w:rPr>
                            </w:pPr>
                            <w:r w:rsidRPr="00EC419C">
                              <w:rPr>
                                <w:i w:val="0"/>
                                <w:iCs w:val="0"/>
                                <w:color w:val="auto"/>
                                <w:sz w:val="24"/>
                                <w:szCs w:val="24"/>
                              </w:rPr>
                              <w:t xml:space="preserve">Figure </w:t>
                            </w:r>
                            <w:r w:rsidRPr="00EC419C">
                              <w:rPr>
                                <w:i w:val="0"/>
                                <w:iCs w:val="0"/>
                                <w:color w:val="auto"/>
                                <w:sz w:val="24"/>
                                <w:szCs w:val="24"/>
                              </w:rPr>
                              <w:fldChar w:fldCharType="begin"/>
                            </w:r>
                            <w:r w:rsidRPr="00EC419C">
                              <w:rPr>
                                <w:i w:val="0"/>
                                <w:iCs w:val="0"/>
                                <w:color w:val="auto"/>
                                <w:sz w:val="24"/>
                                <w:szCs w:val="24"/>
                              </w:rPr>
                              <w:instrText xml:space="preserve"> SEQ Figure \* ARABIC </w:instrText>
                            </w:r>
                            <w:r w:rsidRPr="00EC419C">
                              <w:rPr>
                                <w:i w:val="0"/>
                                <w:iCs w:val="0"/>
                                <w:color w:val="auto"/>
                                <w:sz w:val="24"/>
                                <w:szCs w:val="24"/>
                              </w:rPr>
                              <w:fldChar w:fldCharType="separate"/>
                            </w:r>
                            <w:r w:rsidRPr="00EC419C">
                              <w:rPr>
                                <w:i w:val="0"/>
                                <w:iCs w:val="0"/>
                                <w:noProof/>
                                <w:color w:val="auto"/>
                                <w:sz w:val="24"/>
                                <w:szCs w:val="24"/>
                              </w:rPr>
                              <w:t>1</w:t>
                            </w:r>
                            <w:r w:rsidRPr="00EC419C">
                              <w:rPr>
                                <w:i w:val="0"/>
                                <w:iCs w:val="0"/>
                                <w:noProof/>
                                <w:color w:val="auto"/>
                                <w:sz w:val="24"/>
                                <w:szCs w:val="24"/>
                              </w:rPr>
                              <w:fldChar w:fldCharType="end"/>
                            </w:r>
                            <w:r w:rsidRPr="00EC419C">
                              <w:rPr>
                                <w:i w:val="0"/>
                                <w:iCs w:val="0"/>
                                <w:color w:val="auto"/>
                                <w:sz w:val="24"/>
                                <w:szCs w:val="24"/>
                              </w:rPr>
                              <w:t>. Picture of OTCs at Rock Springs, PA (photo credit A. Isaacson)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255AAC" id="_x0000_t202" coordsize="21600,21600" o:spt="202" path="m,l,21600r21600,l21600,xe">
                <v:stroke joinstyle="miter"/>
                <v:path gradientshapeok="t" o:connecttype="rect"/>
              </v:shapetype>
              <v:shape id="Text Box 2" o:spid="_x0000_s1026" type="#_x0000_t202" style="position:absolute;margin-left:0;margin-top:145.9pt;width:468pt;height:.0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" stroked="f">
                <v:textbox style="mso-fit-shape-to-text:t" inset="0,0,0,0">
                  <w:txbxContent>
                    <w:p w14:paraId="07795207" w14:textId="55A1CF91" w:rsidR="007B6EED" w:rsidRPr="00EC419C" w:rsidRDefault="007B6EED" w:rsidP="007B6EED">
                      <w:pPr>
                        <w:pStyle w:val="Caption"/>
                        <w:rPr>
                          <w:i w:val="0"/>
                          <w:iCs w:val="0"/>
                          <w:noProof/>
                          <w:color w:val="auto"/>
                          <w:sz w:val="24"/>
                          <w:szCs w:val="24"/>
                        </w:rPr>
                      </w:pPr>
                      <w:r w:rsidRPr="00EC419C">
                        <w:rPr>
                          <w:i w:val="0"/>
                          <w:iCs w:val="0"/>
                          <w:color w:val="auto"/>
                          <w:sz w:val="24"/>
                          <w:szCs w:val="24"/>
                        </w:rPr>
                        <w:t xml:space="preserve">Figure </w:t>
                      </w:r>
                      <w:r w:rsidRPr="00EC419C">
                        <w:rPr>
                          <w:i w:val="0"/>
                          <w:iCs w:val="0"/>
                          <w:color w:val="auto"/>
                          <w:sz w:val="24"/>
                          <w:szCs w:val="24"/>
                        </w:rPr>
                        <w:fldChar w:fldCharType="begin"/>
                      </w:r>
                      <w:r w:rsidRPr="00EC419C">
                        <w:rPr>
                          <w:i w:val="0"/>
                          <w:iCs w:val="0"/>
                          <w:color w:val="auto"/>
                          <w:sz w:val="24"/>
                          <w:szCs w:val="24"/>
                        </w:rPr>
                        <w:instrText xml:space="preserve"> SEQ Figure \* ARABIC </w:instrText>
                      </w:r>
                      <w:r w:rsidRPr="00EC419C">
                        <w:rPr>
                          <w:i w:val="0"/>
                          <w:iCs w:val="0"/>
                          <w:color w:val="auto"/>
                          <w:sz w:val="24"/>
                          <w:szCs w:val="24"/>
                        </w:rPr>
                        <w:fldChar w:fldCharType="separate"/>
                      </w:r>
                      <w:r w:rsidRPr="00EC419C">
                        <w:rPr>
                          <w:i w:val="0"/>
                          <w:iCs w:val="0"/>
                          <w:noProof/>
                          <w:color w:val="auto"/>
                          <w:sz w:val="24"/>
                          <w:szCs w:val="24"/>
                        </w:rPr>
                        <w:t>1</w:t>
                      </w:r>
                      <w:r w:rsidRPr="00EC419C">
                        <w:rPr>
                          <w:i w:val="0"/>
                          <w:iCs w:val="0"/>
                          <w:noProof/>
                          <w:color w:val="auto"/>
                          <w:sz w:val="24"/>
                          <w:szCs w:val="24"/>
                        </w:rPr>
                        <w:fldChar w:fldCharType="end"/>
                      </w:r>
                      <w:r w:rsidRPr="00EC419C">
                        <w:rPr>
                          <w:i w:val="0"/>
                          <w:iCs w:val="0"/>
                          <w:color w:val="auto"/>
                          <w:sz w:val="24"/>
                          <w:szCs w:val="24"/>
                        </w:rPr>
                        <w:t>. Picture of OTCs at Rock Springs, PA (photo credit A. Isaacson)</w:t>
                      </w:r>
                    </w:p>
                  </w:txbxContent>
                </v:textbox>
                <w10:wrap type="square" anchorx="margin"/>
              </v:shape>
            </w:pict>
          </mc:Fallback>
        </mc:AlternateContent>
      </w:r>
      <w:r w:rsidRPr="007B6EED">
        <w:rPr>
          <w:noProof/>
          <w:sz w:val="23"/>
          <w:szCs w:val="23"/>
        </w:rPr>
        <w:drawing>
          <wp:anchor distT="0" distB="0" distL="114300" distR="114300" simplePos="0" relativeHeight="251658240" behindDoc="0" locked="0" layoutInCell="1" allowOverlap="1" wp14:anchorId="514D2F61" wp14:editId="4AB8EC46">
            <wp:simplePos x="0" y="0"/>
            <wp:positionH relativeFrom="margin">
              <wp:align>left</wp:align>
            </wp:positionH>
            <wp:positionV relativeFrom="paragraph">
              <wp:posOffset>366395</wp:posOffset>
            </wp:positionV>
            <wp:extent cx="5908675" cy="14192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867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5A8">
        <w:rPr>
          <w:b/>
        </w:rPr>
        <w:t>Technical Feasibility</w:t>
      </w:r>
    </w:p>
    <w:p w14:paraId="283E34BE" w14:textId="12E64A23" w:rsidR="008A73F2" w:rsidRPr="00C549E9" w:rsidRDefault="00317F19" w:rsidP="008A73F2">
      <w:pPr>
        <w:rPr>
          <w:rFonts w:ascii="Times New Roman" w:hAnsi="Times New Roman" w:cs="Times New Roman"/>
        </w:rPr>
      </w:pPr>
      <w:r>
        <w:rPr>
          <w:sz w:val="23"/>
          <w:szCs w:val="23"/>
        </w:rPr>
        <w:t xml:space="preserve">We need effective and affordable methods to simulate increasing temperatures and increasing weather variability </w:t>
      </w:r>
      <w:r>
        <w:rPr>
          <w:b/>
          <w:bCs/>
          <w:i/>
          <w:iCs/>
          <w:sz w:val="23"/>
          <w:szCs w:val="23"/>
        </w:rPr>
        <w:t xml:space="preserve">in the field </w:t>
      </w:r>
      <w:r>
        <w:rPr>
          <w:sz w:val="23"/>
          <w:szCs w:val="23"/>
        </w:rPr>
        <w:t xml:space="preserve">to better understand the impacts climate change may have on weed emergence. Our current research has shown that hexagonal open top chambers (“OTCs”, shown in Figure </w:t>
      </w:r>
      <w:r w:rsidR="007B6EED">
        <w:rPr>
          <w:sz w:val="23"/>
          <w:szCs w:val="23"/>
        </w:rPr>
        <w:t>1</w:t>
      </w:r>
      <w:r w:rsidR="002E22AF">
        <w:rPr>
          <w:sz w:val="23"/>
          <w:szCs w:val="23"/>
        </w:rPr>
        <w:t xml:space="preserve"> (</w:t>
      </w:r>
      <w:r w:rsidR="002E22AF">
        <w:t>Marion et al 1997)</w:t>
      </w:r>
      <w:r>
        <w:rPr>
          <w:sz w:val="23"/>
          <w:szCs w:val="23"/>
        </w:rPr>
        <w:t>) meet this need and passively increase air and soil temperature</w:t>
      </w:r>
      <w:r w:rsidR="00D44DD2">
        <w:rPr>
          <w:sz w:val="23"/>
          <w:szCs w:val="23"/>
        </w:rPr>
        <w:t xml:space="preserve">, while having a minimal </w:t>
      </w:r>
      <w:proofErr w:type="spellStart"/>
      <w:r w:rsidR="00D44DD2">
        <w:rPr>
          <w:sz w:val="23"/>
          <w:szCs w:val="23"/>
        </w:rPr>
        <w:t>affect</w:t>
      </w:r>
      <w:proofErr w:type="spellEnd"/>
      <w:r w:rsidR="00D44DD2">
        <w:rPr>
          <w:sz w:val="23"/>
          <w:szCs w:val="23"/>
        </w:rPr>
        <w:t xml:space="preserve"> on soil moisture</w:t>
      </w:r>
      <w:r>
        <w:rPr>
          <w:sz w:val="23"/>
          <w:szCs w:val="23"/>
        </w:rPr>
        <w:t xml:space="preserve">. OTCs have been used to simulate warming throughout a wide range of climates and environments </w:t>
      </w:r>
      <w:r w:rsidR="002E22AF">
        <w:rPr>
          <w:sz w:val="23"/>
          <w:szCs w:val="23"/>
        </w:rPr>
        <w:t xml:space="preserve">(Bjorkman et al 2017, </w:t>
      </w:r>
      <w:proofErr w:type="spellStart"/>
      <w:r w:rsidR="002E22AF">
        <w:rPr>
          <w:sz w:val="23"/>
          <w:szCs w:val="23"/>
        </w:rPr>
        <w:t>Seipel</w:t>
      </w:r>
      <w:proofErr w:type="spellEnd"/>
      <w:r w:rsidR="002E22AF">
        <w:rPr>
          <w:sz w:val="23"/>
          <w:szCs w:val="23"/>
        </w:rPr>
        <w:t xml:space="preserve"> et al 2019).</w:t>
      </w:r>
      <w:r w:rsidR="007B6EED" w:rsidRPr="007B6EED">
        <w:rPr>
          <w:noProof/>
          <w:sz w:val="23"/>
          <w:szCs w:val="23"/>
        </w:rPr>
        <w:t xml:space="preserve"> </w:t>
      </w:r>
      <w:r w:rsidR="007B6EED">
        <w:rPr>
          <w:sz w:val="23"/>
          <w:szCs w:val="23"/>
        </w:rPr>
        <w:t>We found that our OTC design was relatively easy to implement and effective at modifying temperatures. The OTCs had substantial effects on air and soil temperature (Figure</w:t>
      </w:r>
      <w:r w:rsidR="008A2917">
        <w:rPr>
          <w:sz w:val="23"/>
          <w:szCs w:val="23"/>
        </w:rPr>
        <w:t>s</w:t>
      </w:r>
      <w:r w:rsidR="007B6EED">
        <w:rPr>
          <w:sz w:val="23"/>
          <w:szCs w:val="23"/>
        </w:rPr>
        <w:t xml:space="preserve"> </w:t>
      </w:r>
      <w:r w:rsidR="008A2917">
        <w:rPr>
          <w:sz w:val="23"/>
          <w:szCs w:val="23"/>
        </w:rPr>
        <w:t>2 and 3</w:t>
      </w:r>
      <w:r w:rsidR="007B6EED">
        <w:rPr>
          <w:sz w:val="23"/>
          <w:szCs w:val="23"/>
        </w:rPr>
        <w:t>).</w:t>
      </w:r>
      <w:r w:rsidR="008A73F2" w:rsidRPr="00C549E9">
        <w:rPr>
          <w:rFonts w:ascii="Times New Roman" w:hAnsi="Times New Roman" w:cs="Times New Roman"/>
        </w:rPr>
        <w:t xml:space="preserve"> </w:t>
      </w:r>
      <w:r w:rsidR="008A73F2">
        <w:rPr>
          <w:rFonts w:ascii="Times New Roman" w:hAnsi="Times New Roman" w:cs="Times New Roman"/>
        </w:rPr>
        <w:t>O</w:t>
      </w:r>
      <w:r w:rsidR="008A73F2" w:rsidRPr="00C549E9">
        <w:rPr>
          <w:rFonts w:ascii="Times New Roman" w:hAnsi="Times New Roman" w:cs="Times New Roman"/>
        </w:rPr>
        <w:t>n average we obtained an increase in air temperature within the OTC of approximately 0.5</w:t>
      </w:r>
      <w:r w:rsidR="008A73F2" w:rsidRPr="00C549E9">
        <w:rPr>
          <w:rFonts w:ascii="Times New Roman" w:hAnsi="Times New Roman" w:cs="Times New Roman"/>
        </w:rPr>
        <w:sym w:font="Symbol" w:char="F0B0"/>
      </w:r>
      <w:r w:rsidR="008A73F2" w:rsidRPr="00C549E9">
        <w:rPr>
          <w:rFonts w:ascii="Times New Roman" w:hAnsi="Times New Roman" w:cs="Times New Roman"/>
        </w:rPr>
        <w:t>C</w:t>
      </w:r>
      <w:r w:rsidR="008A73F2">
        <w:rPr>
          <w:rFonts w:ascii="Times New Roman" w:hAnsi="Times New Roman" w:cs="Times New Roman"/>
        </w:rPr>
        <w:t>, and soil temperatures by approximately 0.4</w:t>
      </w:r>
      <w:r w:rsidR="008A73F2" w:rsidRPr="00C549E9">
        <w:rPr>
          <w:rFonts w:ascii="Times New Roman" w:hAnsi="Times New Roman" w:cs="Times New Roman"/>
        </w:rPr>
        <w:sym w:font="Symbol" w:char="F0B0"/>
      </w:r>
      <w:r w:rsidR="008A73F2" w:rsidRPr="00C549E9">
        <w:rPr>
          <w:rFonts w:ascii="Times New Roman" w:hAnsi="Times New Roman" w:cs="Times New Roman"/>
        </w:rPr>
        <w:t>C</w:t>
      </w:r>
      <w:r w:rsidR="008A73F2">
        <w:rPr>
          <w:rFonts w:ascii="Times New Roman" w:hAnsi="Times New Roman" w:cs="Times New Roman"/>
        </w:rPr>
        <w:t xml:space="preserve">. </w:t>
      </w:r>
    </w:p>
    <w:p w14:paraId="1BCCC9E3" w14:textId="757A1704" w:rsidR="00D44DD2" w:rsidRDefault="00D44DD2" w:rsidP="001A0CCE">
      <w:pPr>
        <w:rPr>
          <w:sz w:val="23"/>
          <w:szCs w:val="23"/>
        </w:rPr>
      </w:pPr>
    </w:p>
    <w:p w14:paraId="04DAA8E4" w14:textId="77777777" w:rsidR="00D44DD2" w:rsidRDefault="00D44DD2" w:rsidP="001A0CCE">
      <w:pPr>
        <w:rPr>
          <w:sz w:val="23"/>
          <w:szCs w:val="23"/>
        </w:rPr>
      </w:pPr>
    </w:p>
    <w:p w14:paraId="34007ECC" w14:textId="77777777" w:rsidR="00D44DD2" w:rsidRDefault="00D44DD2" w:rsidP="001A0CCE">
      <w:pPr>
        <w:rPr>
          <w:sz w:val="23"/>
          <w:szCs w:val="23"/>
        </w:rPr>
      </w:pPr>
      <w:r>
        <w:rPr>
          <w:noProof/>
        </w:rPr>
        <w:lastRenderedPageBreak/>
        <w:drawing>
          <wp:inline distT="0" distB="0" distL="0" distR="0" wp14:anchorId="3E95A609" wp14:editId="47EC569B">
            <wp:extent cx="5943600" cy="2769235"/>
            <wp:effectExtent l="0" t="0" r="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69235"/>
                    </a:xfrm>
                    <a:prstGeom prst="rect">
                      <a:avLst/>
                    </a:prstGeom>
                    <a:noFill/>
                    <a:ln>
                      <a:noFill/>
                    </a:ln>
                  </pic:spPr>
                </pic:pic>
              </a:graphicData>
            </a:graphic>
          </wp:inline>
        </w:drawing>
      </w:r>
    </w:p>
    <w:p w14:paraId="379931E3" w14:textId="09A4B2A7" w:rsidR="00D44DD2" w:rsidRDefault="008A2917" w:rsidP="008A2917">
      <w:pPr>
        <w:shd w:val="clear" w:color="auto" w:fill="FFFFFF"/>
        <w:rPr>
          <w:sz w:val="23"/>
          <w:szCs w:val="23"/>
        </w:rPr>
      </w:pPr>
      <w:r>
        <w:rPr>
          <w:sz w:val="23"/>
          <w:szCs w:val="23"/>
        </w:rPr>
        <w:t xml:space="preserve">Figure 2. </w:t>
      </w:r>
      <w:r>
        <w:rPr>
          <w:rStyle w:val="contentpasted0"/>
          <w:rFonts w:ascii="Times" w:hAnsi="Times"/>
          <w:color w:val="000000"/>
          <w:sz w:val="24"/>
          <w:szCs w:val="24"/>
          <w:shd w:val="clear" w:color="auto" w:fill="FFFFFF"/>
        </w:rPr>
        <w:t>Average monthly difference in temperature (ºC) for year one (A. 2020-2021) and year two (B. 2021-2022) in in State College, PA. Data are monthly averages of the daily average</w:t>
      </w:r>
      <w:r>
        <w:rPr>
          <w:rStyle w:val="contentpasted0"/>
          <w:rFonts w:ascii="Times" w:eastAsia="Times New Roman" w:hAnsi="Times"/>
          <w:color w:val="000000"/>
          <w:sz w:val="24"/>
          <w:szCs w:val="24"/>
          <w:shd w:val="clear" w:color="auto" w:fill="FFFFFF"/>
        </w:rPr>
        <w:t xml:space="preserve"> temperatures of temperature sensors at a 10 cm height in an </w:t>
      </w:r>
      <w:proofErr w:type="spellStart"/>
      <w:r>
        <w:rPr>
          <w:rStyle w:val="contentpasted0"/>
          <w:rFonts w:ascii="Times" w:eastAsia="Times New Roman" w:hAnsi="Times"/>
          <w:color w:val="000000"/>
          <w:sz w:val="24"/>
          <w:szCs w:val="24"/>
          <w:shd w:val="clear" w:color="auto" w:fill="FFFFFF"/>
        </w:rPr>
        <w:t>afalfa-orchardgrass</w:t>
      </w:r>
      <w:proofErr w:type="spellEnd"/>
      <w:r>
        <w:rPr>
          <w:rStyle w:val="contentpasted0"/>
          <w:rFonts w:ascii="Times" w:eastAsia="Times New Roman" w:hAnsi="Times"/>
          <w:color w:val="000000"/>
          <w:sz w:val="24"/>
          <w:szCs w:val="24"/>
          <w:shd w:val="clear" w:color="auto" w:fill="FFFFFF"/>
        </w:rPr>
        <w:t xml:space="preserve"> mixture.</w:t>
      </w:r>
    </w:p>
    <w:p w14:paraId="77E445B7" w14:textId="77777777" w:rsidR="008A2917" w:rsidRDefault="008A2917" w:rsidP="001A0CCE">
      <w:pPr>
        <w:rPr>
          <w:sz w:val="23"/>
          <w:szCs w:val="23"/>
        </w:rPr>
      </w:pPr>
      <w:r w:rsidRPr="008A2917">
        <w:rPr>
          <w:noProof/>
          <w:sz w:val="23"/>
          <w:szCs w:val="23"/>
        </w:rPr>
        <w:drawing>
          <wp:inline distT="0" distB="0" distL="0" distR="0" wp14:anchorId="65D045F2" wp14:editId="5AA7657C">
            <wp:extent cx="5400675" cy="3714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r w:rsidR="007B6EED">
        <w:rPr>
          <w:sz w:val="23"/>
          <w:szCs w:val="23"/>
        </w:rPr>
        <w:t xml:space="preserve">For </w:t>
      </w:r>
    </w:p>
    <w:p w14:paraId="3922BB0B" w14:textId="79119257" w:rsidR="008A2917" w:rsidRDefault="008A2917" w:rsidP="008A2917">
      <w:pPr>
        <w:rPr>
          <w:sz w:val="23"/>
          <w:szCs w:val="23"/>
        </w:rPr>
      </w:pPr>
      <w:r w:rsidRPr="008A2917">
        <w:rPr>
          <w:sz w:val="23"/>
          <w:szCs w:val="23"/>
        </w:rPr>
        <w:t>Figure</w:t>
      </w:r>
      <w:r>
        <w:rPr>
          <w:sz w:val="23"/>
          <w:szCs w:val="23"/>
        </w:rPr>
        <w:t xml:space="preserve"> </w:t>
      </w:r>
      <w:proofErr w:type="gramStart"/>
      <w:r w:rsidR="003C3D27">
        <w:rPr>
          <w:sz w:val="23"/>
          <w:szCs w:val="23"/>
        </w:rPr>
        <w:t>3</w:t>
      </w:r>
      <w:r w:rsidRPr="008A2917">
        <w:rPr>
          <w:sz w:val="23"/>
          <w:szCs w:val="23"/>
        </w:rPr>
        <w:t xml:space="preserve"> .</w:t>
      </w:r>
      <w:proofErr w:type="gramEnd"/>
      <w:r w:rsidRPr="008A2917">
        <w:rPr>
          <w:sz w:val="23"/>
          <w:szCs w:val="23"/>
        </w:rPr>
        <w:t xml:space="preserve"> Daily maximum (top) and minimum (bottom)</w:t>
      </w:r>
      <w:r>
        <w:rPr>
          <w:sz w:val="23"/>
          <w:szCs w:val="23"/>
        </w:rPr>
        <w:t xml:space="preserve"> </w:t>
      </w:r>
      <w:r w:rsidRPr="008A2917">
        <w:rPr>
          <w:sz w:val="23"/>
          <w:szCs w:val="23"/>
        </w:rPr>
        <w:t xml:space="preserve">soil temperature at 5 cm depth in </w:t>
      </w:r>
      <w:r>
        <w:rPr>
          <w:sz w:val="23"/>
          <w:szCs w:val="23"/>
        </w:rPr>
        <w:t>P</w:t>
      </w:r>
      <w:r w:rsidRPr="008A2917">
        <w:rPr>
          <w:sz w:val="23"/>
          <w:szCs w:val="23"/>
        </w:rPr>
        <w:t xml:space="preserve">ennsylvania </w:t>
      </w:r>
      <w:proofErr w:type="gramStart"/>
      <w:r w:rsidRPr="008A2917">
        <w:rPr>
          <w:sz w:val="23"/>
          <w:szCs w:val="23"/>
        </w:rPr>
        <w:t>( PA</w:t>
      </w:r>
      <w:proofErr w:type="gramEnd"/>
      <w:r w:rsidRPr="008A2917">
        <w:rPr>
          <w:sz w:val="23"/>
          <w:szCs w:val="23"/>
        </w:rPr>
        <w:t>, left)</w:t>
      </w:r>
      <w:r>
        <w:rPr>
          <w:sz w:val="23"/>
          <w:szCs w:val="23"/>
        </w:rPr>
        <w:t xml:space="preserve"> </w:t>
      </w:r>
      <w:r w:rsidRPr="008A2917">
        <w:rPr>
          <w:sz w:val="23"/>
          <w:szCs w:val="23"/>
        </w:rPr>
        <w:t>and New Hampshire NH, right) buried in a plot with an</w:t>
      </w:r>
      <w:r>
        <w:rPr>
          <w:sz w:val="23"/>
          <w:szCs w:val="23"/>
        </w:rPr>
        <w:t xml:space="preserve"> </w:t>
      </w:r>
      <w:r w:rsidRPr="008A2917">
        <w:rPr>
          <w:sz w:val="23"/>
          <w:szCs w:val="23"/>
        </w:rPr>
        <w:t>OTC (</w:t>
      </w:r>
      <w:r>
        <w:rPr>
          <w:sz w:val="23"/>
          <w:szCs w:val="23"/>
        </w:rPr>
        <w:t>“</w:t>
      </w:r>
      <w:r w:rsidRPr="008A2917">
        <w:rPr>
          <w:sz w:val="23"/>
          <w:szCs w:val="23"/>
        </w:rPr>
        <w:t xml:space="preserve">constant warming ’’) and without </w:t>
      </w:r>
      <w:r>
        <w:rPr>
          <w:sz w:val="23"/>
          <w:szCs w:val="23"/>
        </w:rPr>
        <w:t>(“</w:t>
      </w:r>
      <w:r w:rsidRPr="008A2917">
        <w:rPr>
          <w:sz w:val="23"/>
          <w:szCs w:val="23"/>
        </w:rPr>
        <w:t>control</w:t>
      </w:r>
      <w:r>
        <w:rPr>
          <w:sz w:val="23"/>
          <w:szCs w:val="23"/>
        </w:rPr>
        <w:t>”).</w:t>
      </w:r>
    </w:p>
    <w:p w14:paraId="27C4CC6E" w14:textId="0E45B74F" w:rsidR="00D44DD2" w:rsidRDefault="00230609" w:rsidP="001A0CCE">
      <w:pPr>
        <w:rPr>
          <w:sz w:val="23"/>
          <w:szCs w:val="23"/>
        </w:rPr>
      </w:pPr>
      <w:r>
        <w:rPr>
          <w:sz w:val="23"/>
          <w:szCs w:val="23"/>
        </w:rPr>
        <w:lastRenderedPageBreak/>
        <w:t xml:space="preserve">For </w:t>
      </w:r>
      <w:r w:rsidR="007B6EED">
        <w:rPr>
          <w:sz w:val="23"/>
          <w:szCs w:val="23"/>
        </w:rPr>
        <w:t>example, fall maximum air temperature within the OTC was up to 5</w:t>
      </w:r>
      <w:r w:rsidR="007B6EED">
        <w:rPr>
          <w:rFonts w:ascii="Calibri" w:hAnsi="Calibri" w:cs="Calibri"/>
          <w:sz w:val="23"/>
          <w:szCs w:val="23"/>
        </w:rPr>
        <w:t>°</w:t>
      </w:r>
      <w:r w:rsidR="007B6EED">
        <w:rPr>
          <w:sz w:val="23"/>
          <w:szCs w:val="23"/>
        </w:rPr>
        <w:t xml:space="preserve">C warmer compared to the control plots, while the OTC increased maximum air temperature by as </w:t>
      </w:r>
      <w:r w:rsidR="00863FC1">
        <w:rPr>
          <w:sz w:val="23"/>
          <w:szCs w:val="23"/>
        </w:rPr>
        <w:t xml:space="preserve">much </w:t>
      </w:r>
      <w:r w:rsidR="007B6EED">
        <w:rPr>
          <w:sz w:val="23"/>
          <w:szCs w:val="23"/>
        </w:rPr>
        <w:t>as 10</w:t>
      </w:r>
      <w:r w:rsidR="007B6EED">
        <w:rPr>
          <w:rFonts w:ascii="Calibri" w:hAnsi="Calibri" w:cs="Calibri"/>
          <w:sz w:val="23"/>
          <w:szCs w:val="23"/>
        </w:rPr>
        <w:t>°</w:t>
      </w:r>
      <w:r w:rsidR="007B6EED">
        <w:rPr>
          <w:sz w:val="23"/>
          <w:szCs w:val="23"/>
        </w:rPr>
        <w:t>C in spring. The change in fall air temperature</w:t>
      </w:r>
      <w:r w:rsidR="007B6EED" w:rsidRPr="007B6EED">
        <w:rPr>
          <w:sz w:val="23"/>
          <w:szCs w:val="23"/>
        </w:rPr>
        <w:t xml:space="preserve"> </w:t>
      </w:r>
      <w:r w:rsidR="007B6EED">
        <w:rPr>
          <w:sz w:val="23"/>
          <w:szCs w:val="23"/>
        </w:rPr>
        <w:t xml:space="preserve">within the OTC decreased cold hardiness accumulation by 20 chilling degree day units (base 5°C). Interestingly, the magnitude by which our OTCs decreased chilling degree days is consistent with the predicted decline in chilling degree days for future climate change scenarios in northeastern North America </w:t>
      </w:r>
      <w:r w:rsidR="002E22AF">
        <w:rPr>
          <w:sz w:val="23"/>
          <w:szCs w:val="23"/>
        </w:rPr>
        <w:t>(</w:t>
      </w:r>
      <w:proofErr w:type="spellStart"/>
      <w:r w:rsidR="002E22AF">
        <w:rPr>
          <w:sz w:val="23"/>
          <w:szCs w:val="23"/>
        </w:rPr>
        <w:t>Bélanger</w:t>
      </w:r>
      <w:proofErr w:type="spellEnd"/>
      <w:r w:rsidR="002E22AF">
        <w:rPr>
          <w:sz w:val="23"/>
          <w:szCs w:val="23"/>
        </w:rPr>
        <w:t xml:space="preserve"> 2002)</w:t>
      </w:r>
      <w:r w:rsidR="007B6EED">
        <w:rPr>
          <w:sz w:val="23"/>
          <w:szCs w:val="23"/>
        </w:rPr>
        <w:t>. In the spring, the OTC increased the number of days that maximum air temperature was above 15°C (the temperature at which alfalfa breaks dormancy) by 40% compared to the control. While the OTC did not impact winter maximum air temperature as much as in fall and spring, we did see up to an 8</w:t>
      </w:r>
      <w:r w:rsidR="007B6EED">
        <w:rPr>
          <w:rFonts w:ascii="Calibri" w:hAnsi="Calibri" w:cs="Calibri"/>
          <w:sz w:val="23"/>
          <w:szCs w:val="23"/>
        </w:rPr>
        <w:t>°</w:t>
      </w:r>
      <w:r w:rsidR="007B6EED">
        <w:rPr>
          <w:sz w:val="23"/>
          <w:szCs w:val="23"/>
        </w:rPr>
        <w:t>C increase in the minimum daily temperature in winter. Throughout the spring, the OTC doubled the number of days that air temperature was greater than 30</w:t>
      </w:r>
      <w:r w:rsidR="007B6EED">
        <w:rPr>
          <w:rFonts w:ascii="Calibri" w:hAnsi="Calibri" w:cs="Calibri"/>
          <w:sz w:val="23"/>
          <w:szCs w:val="23"/>
        </w:rPr>
        <w:t>°</w:t>
      </w:r>
      <w:r w:rsidR="007B6EED">
        <w:rPr>
          <w:sz w:val="23"/>
          <w:szCs w:val="23"/>
        </w:rPr>
        <w:t>C compared to the control plots without an OTC.</w:t>
      </w:r>
      <w:r w:rsidR="00D44DD2" w:rsidRPr="00D44DD2">
        <w:t xml:space="preserve"> </w:t>
      </w:r>
    </w:p>
    <w:p w14:paraId="3D2929EF" w14:textId="071BFD01" w:rsidR="007B6EED" w:rsidRDefault="007B6EED" w:rsidP="001A0CCE">
      <w:pPr>
        <w:rPr>
          <w:sz w:val="23"/>
          <w:szCs w:val="23"/>
        </w:rPr>
      </w:pPr>
      <w:r>
        <w:rPr>
          <w:sz w:val="23"/>
          <w:szCs w:val="23"/>
        </w:rPr>
        <w:t xml:space="preserve">This OTC design is already being implemented by two multistate collaborators in an AFRI-funded grant focused on alfalfa </w:t>
      </w:r>
      <w:r w:rsidR="0023009E">
        <w:rPr>
          <w:sz w:val="23"/>
          <w:szCs w:val="23"/>
        </w:rPr>
        <w:t xml:space="preserve">management </w:t>
      </w:r>
      <w:r>
        <w:rPr>
          <w:sz w:val="23"/>
          <w:szCs w:val="23"/>
        </w:rPr>
        <w:t xml:space="preserve">in Pennsylvania and New Hampshire. The proposed work will provide complementary information to the existing project focused on weed responses in a wider range of Northeastern US states and climate conditions. </w:t>
      </w:r>
    </w:p>
    <w:p w14:paraId="1FB645D3" w14:textId="1CA138FE" w:rsidR="00062142" w:rsidRDefault="00062142" w:rsidP="001A0CCE">
      <w:pPr>
        <w:rPr>
          <w:sz w:val="23"/>
          <w:szCs w:val="23"/>
        </w:rPr>
      </w:pPr>
    </w:p>
    <w:p w14:paraId="7C3DFB79" w14:textId="77777777" w:rsidR="007B6EED" w:rsidRDefault="007B6EED" w:rsidP="007B6EED">
      <w:pPr>
        <w:rPr>
          <w:b/>
        </w:rPr>
      </w:pPr>
      <w:r>
        <w:rPr>
          <w:b/>
        </w:rPr>
        <w:t>Multistate Advantages</w:t>
      </w:r>
    </w:p>
    <w:p w14:paraId="70E54FA8" w14:textId="02DEBF55" w:rsidR="007B6EED" w:rsidRDefault="007B6EED" w:rsidP="007B6EED">
      <w:r>
        <w:t xml:space="preserve">Weather patterns, soil types, and weed communities are highly variable across the Northeast, making the collection of data from across the region critical for understanding the response of agricultural weed emergence to climate change. Additionally, </w:t>
      </w:r>
      <w:proofErr w:type="spellStart"/>
      <w:r>
        <w:t>Cordeau</w:t>
      </w:r>
      <w:proofErr w:type="spellEnd"/>
      <w:r>
        <w:t xml:space="preserve"> et al. (2017) found that populations of weed species</w:t>
      </w:r>
      <w:r>
        <w:rPr>
          <w:rStyle w:val="CommentReference"/>
        </w:rPr>
        <w:t xml:space="preserve"> </w:t>
      </w:r>
      <w:r>
        <w:t>had different emergence patterns in different Northeastern states</w:t>
      </w:r>
      <w:r w:rsidR="00A5062B">
        <w:t>. It is not yet clear w</w:t>
      </w:r>
      <w:r>
        <w:t xml:space="preserve">hether that difference is due to genetic variability within the species or plasticity in emergence patterns depending on climatic conditions. </w:t>
      </w:r>
      <w:r w:rsidR="00A5062B">
        <w:t xml:space="preserve">A multistate project will allow us to </w:t>
      </w:r>
      <w:r w:rsidR="00A27E69">
        <w:t>replicate</w:t>
      </w:r>
      <w:r>
        <w:t xml:space="preserve"> the same weed emergence experiment at multiple sites </w:t>
      </w:r>
      <w:r w:rsidRPr="00B30C1D">
        <w:t xml:space="preserve">across the region. </w:t>
      </w:r>
      <w:r>
        <w:t>Participating researchers will include Richard Smith (New Hampshire),</w:t>
      </w:r>
      <w:r w:rsidR="008D72A5">
        <w:t xml:space="preserve"> Carolyn Lowry (Pennsylvania),</w:t>
      </w:r>
      <w:r>
        <w:t xml:space="preserve"> Mark VanGessel (Delaware), Antonio DiTommaso (New York), </w:t>
      </w:r>
      <w:r w:rsidR="008D72A5">
        <w:t xml:space="preserve">and </w:t>
      </w:r>
      <w:r>
        <w:t xml:space="preserve">Thierry Besancon (New Jersey). </w:t>
      </w:r>
      <w:r w:rsidR="00A81CC1">
        <w:t xml:space="preserve">Our </w:t>
      </w:r>
      <w:r>
        <w:t xml:space="preserve">thorough coverage of the region will ensure that </w:t>
      </w:r>
      <w:r w:rsidR="008D72A5">
        <w:t>results capture regional variability in weed emergence and climate</w:t>
      </w:r>
      <w:r>
        <w:t xml:space="preserve">. </w:t>
      </w:r>
    </w:p>
    <w:p w14:paraId="438D9AC1" w14:textId="63B47C50" w:rsidR="007B6EED" w:rsidRDefault="007B6EED" w:rsidP="001A0CCE"/>
    <w:p w14:paraId="335C5A00" w14:textId="77777777" w:rsidR="003B7E4A" w:rsidRDefault="003B7E4A" w:rsidP="003B7E4A">
      <w:pPr>
        <w:pStyle w:val="Heading1"/>
        <w:spacing w:after="160"/>
        <w:rPr>
          <w:sz w:val="24"/>
          <w:szCs w:val="24"/>
        </w:rPr>
      </w:pPr>
      <w:r>
        <w:rPr>
          <w:sz w:val="24"/>
          <w:szCs w:val="24"/>
        </w:rPr>
        <w:t>Likely Impact</w:t>
      </w:r>
    </w:p>
    <w:p w14:paraId="1E11FE7A" w14:textId="2F5C3B13" w:rsidR="003B7E4A" w:rsidRDefault="0011478C" w:rsidP="001A0CCE">
      <w:r>
        <w:rPr>
          <w:rFonts w:eastAsia="Times New Roman"/>
          <w:color w:val="000000"/>
        </w:rPr>
        <w:t xml:space="preserve">This research will </w:t>
      </w:r>
      <w:r w:rsidR="00621EFF">
        <w:rPr>
          <w:rFonts w:eastAsia="Times New Roman"/>
          <w:color w:val="000000"/>
        </w:rPr>
        <w:t xml:space="preserve">empower farmers to predict the emergence patterns of common weeds, thereby improving weed management efficacy and efficiency. </w:t>
      </w:r>
      <w:r w:rsidR="00A942F1">
        <w:rPr>
          <w:rFonts w:eastAsia="Times New Roman"/>
          <w:color w:val="000000"/>
        </w:rPr>
        <w:t xml:space="preserve">These improvements will </w:t>
      </w:r>
      <w:r w:rsidR="00D64199">
        <w:rPr>
          <w:rFonts w:eastAsia="Times New Roman"/>
          <w:color w:val="000000"/>
        </w:rPr>
        <w:t xml:space="preserve">be an important </w:t>
      </w:r>
      <w:r w:rsidR="00DC1CBD">
        <w:rPr>
          <w:rFonts w:eastAsia="Times New Roman"/>
          <w:color w:val="000000"/>
        </w:rPr>
        <w:t>aspect</w:t>
      </w:r>
      <w:r w:rsidR="00D64199">
        <w:rPr>
          <w:rFonts w:eastAsia="Times New Roman"/>
          <w:color w:val="000000"/>
        </w:rPr>
        <w:t xml:space="preserve"> of </w:t>
      </w:r>
      <w:r w:rsidR="000207DE">
        <w:rPr>
          <w:rFonts w:eastAsia="Times New Roman"/>
          <w:color w:val="000000"/>
        </w:rPr>
        <w:t xml:space="preserve">cropping system </w:t>
      </w:r>
      <w:r w:rsidR="00D64199">
        <w:rPr>
          <w:rFonts w:eastAsia="Times New Roman"/>
          <w:color w:val="000000"/>
        </w:rPr>
        <w:t>adaptation to</w:t>
      </w:r>
      <w:r w:rsidR="00DC1CBD">
        <w:rPr>
          <w:rFonts w:eastAsia="Times New Roman"/>
          <w:color w:val="000000"/>
        </w:rPr>
        <w:t xml:space="preserve"> worsening</w:t>
      </w:r>
      <w:r w:rsidR="00D64199">
        <w:rPr>
          <w:rFonts w:eastAsia="Times New Roman"/>
          <w:color w:val="000000"/>
        </w:rPr>
        <w:t xml:space="preserve"> stressors like</w:t>
      </w:r>
      <w:r w:rsidR="00621EFF">
        <w:rPr>
          <w:rFonts w:eastAsia="Times New Roman"/>
          <w:color w:val="000000"/>
        </w:rPr>
        <w:t xml:space="preserve"> </w:t>
      </w:r>
      <w:r w:rsidR="00D64199">
        <w:rPr>
          <w:rFonts w:eastAsia="Times New Roman"/>
          <w:color w:val="000000"/>
        </w:rPr>
        <w:t>climate change and herbicide</w:t>
      </w:r>
      <w:r w:rsidR="000207DE">
        <w:rPr>
          <w:rFonts w:eastAsia="Times New Roman"/>
          <w:color w:val="000000"/>
        </w:rPr>
        <w:t>-</w:t>
      </w:r>
      <w:r w:rsidR="00D64199">
        <w:rPr>
          <w:rFonts w:eastAsia="Times New Roman"/>
          <w:color w:val="000000"/>
        </w:rPr>
        <w:t>resistan</w:t>
      </w:r>
      <w:r w:rsidR="000207DE">
        <w:rPr>
          <w:rFonts w:eastAsia="Times New Roman"/>
          <w:color w:val="000000"/>
        </w:rPr>
        <w:t xml:space="preserve">t weeds. </w:t>
      </w:r>
      <w:r w:rsidR="00DC1CBD">
        <w:rPr>
          <w:rFonts w:eastAsia="Times New Roman"/>
          <w:color w:val="000000"/>
        </w:rPr>
        <w:t>Optimized weed management programs</w:t>
      </w:r>
      <w:r w:rsidR="000207DE">
        <w:rPr>
          <w:rFonts w:eastAsia="Times New Roman"/>
          <w:color w:val="000000"/>
        </w:rPr>
        <w:t xml:space="preserve"> will simultaneously</w:t>
      </w:r>
      <w:r w:rsidR="00DC1CBD">
        <w:rPr>
          <w:rFonts w:eastAsia="Times New Roman"/>
          <w:color w:val="000000"/>
        </w:rPr>
        <w:t xml:space="preserve"> enhance</w:t>
      </w:r>
      <w:r w:rsidR="003B7E4A" w:rsidRPr="00B30C1D">
        <w:rPr>
          <w:rFonts w:eastAsia="Times New Roman"/>
          <w:color w:val="000000"/>
        </w:rPr>
        <w:t xml:space="preserve"> farm profitability and reduce </w:t>
      </w:r>
      <w:r w:rsidR="000207DE">
        <w:rPr>
          <w:rFonts w:eastAsia="Times New Roman"/>
          <w:color w:val="000000"/>
        </w:rPr>
        <w:t xml:space="preserve">negative </w:t>
      </w:r>
      <w:r w:rsidR="003B7E4A" w:rsidRPr="00B30C1D">
        <w:rPr>
          <w:rFonts w:eastAsia="Times New Roman"/>
          <w:color w:val="000000"/>
        </w:rPr>
        <w:t xml:space="preserve">environmental impacts. </w:t>
      </w:r>
    </w:p>
    <w:p w14:paraId="08ED197D" w14:textId="564D63CD" w:rsidR="003B7E4A" w:rsidRDefault="003B7E4A" w:rsidP="003B7E4A">
      <w:pPr>
        <w:pStyle w:val="Heading1"/>
        <w:spacing w:before="161" w:beforeAutospacing="0" w:after="161" w:afterAutospacing="0"/>
        <w:rPr>
          <w:rFonts w:ascii="Arial" w:eastAsia="Times New Roman" w:hAnsi="Arial" w:cs="Arial"/>
          <w:b w:val="0"/>
          <w:bCs w:val="0"/>
          <w:color w:val="4B4441"/>
        </w:rPr>
      </w:pPr>
      <w:r>
        <w:rPr>
          <w:rFonts w:ascii="Arial" w:eastAsia="Times New Roman" w:hAnsi="Arial" w:cs="Arial"/>
          <w:b w:val="0"/>
          <w:bCs w:val="0"/>
          <w:color w:val="4B4441"/>
        </w:rPr>
        <w:t>Related, Current and Previous Work</w:t>
      </w:r>
    </w:p>
    <w:p w14:paraId="010B4A0E" w14:textId="77777777" w:rsidR="006701DE" w:rsidRPr="006701DE" w:rsidRDefault="006701DE" w:rsidP="006701DE">
      <w:pPr>
        <w:shd w:val="clear" w:color="auto" w:fill="FFFFFF"/>
        <w:spacing w:before="240" w:after="240" w:line="240" w:lineRule="auto"/>
        <w:rPr>
          <w:rFonts w:ascii="Open Sans" w:eastAsia="Times New Roman" w:hAnsi="Open Sans" w:cs="Open Sans"/>
          <w:color w:val="808080" w:themeColor="background1" w:themeShade="80"/>
          <w:sz w:val="18"/>
          <w:szCs w:val="18"/>
        </w:rPr>
      </w:pPr>
      <w:r w:rsidRPr="006701DE">
        <w:rPr>
          <w:rFonts w:ascii="Open Sans" w:eastAsia="Times New Roman" w:hAnsi="Open Sans" w:cs="Open Sans"/>
          <w:color w:val="808080" w:themeColor="background1" w:themeShade="80"/>
          <w:sz w:val="18"/>
          <w:szCs w:val="18"/>
        </w:rPr>
        <w:t xml:space="preserve">A brief review, using information from CRIS and elsewhere, of related research on the problem and how the proposed work will supplement and extend it. If the proposal is for a replacement project, the accomplishments </w:t>
      </w:r>
      <w:r w:rsidRPr="006701DE">
        <w:rPr>
          <w:rFonts w:ascii="Open Sans" w:eastAsia="Times New Roman" w:hAnsi="Open Sans" w:cs="Open Sans"/>
          <w:color w:val="808080" w:themeColor="background1" w:themeShade="80"/>
          <w:sz w:val="18"/>
          <w:szCs w:val="18"/>
        </w:rPr>
        <w:lastRenderedPageBreak/>
        <w:t>achieved under the previous project should be reviewed with identification of those areas requiring further investigation. Specific reference should be made to related multistate research projects or other multistate activities. If there is any apparent duplication, the proposed work should be justified. List essential, cited references. It is expected that the proposal will not include a classical in-depth literature review.</w:t>
      </w:r>
    </w:p>
    <w:p w14:paraId="2924A0A0" w14:textId="77777777" w:rsidR="006701DE" w:rsidRPr="006701DE" w:rsidRDefault="006701DE" w:rsidP="006701DE">
      <w:pPr>
        <w:pBdr>
          <w:bottom w:val="single" w:sz="6" w:space="1" w:color="auto"/>
        </w:pBdr>
        <w:spacing w:after="0" w:line="240" w:lineRule="auto"/>
        <w:jc w:val="center"/>
        <w:rPr>
          <w:rFonts w:ascii="Arial" w:eastAsia="Times New Roman" w:hAnsi="Arial" w:cs="Arial"/>
          <w:vanish/>
          <w:sz w:val="16"/>
          <w:szCs w:val="16"/>
        </w:rPr>
      </w:pPr>
      <w:r w:rsidRPr="006701DE">
        <w:rPr>
          <w:rFonts w:ascii="Arial" w:eastAsia="Times New Roman" w:hAnsi="Arial" w:cs="Arial"/>
          <w:vanish/>
          <w:sz w:val="16"/>
          <w:szCs w:val="16"/>
        </w:rPr>
        <w:t>Top of Form</w:t>
      </w:r>
    </w:p>
    <w:p w14:paraId="0AF7871D" w14:textId="77777777" w:rsidR="003B7E4A" w:rsidRPr="00311FAA" w:rsidRDefault="003B7E4A" w:rsidP="003B7E4A">
      <w:pPr>
        <w:pStyle w:val="Heading1"/>
        <w:spacing w:before="161" w:beforeAutospacing="0" w:after="161" w:afterAutospacing="0"/>
        <w:rPr>
          <w:rFonts w:asciiTheme="minorHAnsi" w:hAnsiTheme="minorHAnsi" w:cstheme="minorHAnsi"/>
          <w:b w:val="0"/>
          <w:sz w:val="24"/>
          <w:szCs w:val="24"/>
        </w:rPr>
      </w:pPr>
      <w:r w:rsidRPr="00311FAA">
        <w:rPr>
          <w:rFonts w:asciiTheme="minorHAnsi" w:eastAsia="Times New Roman" w:hAnsiTheme="minorHAnsi" w:cstheme="minorHAnsi"/>
          <w:b w:val="0"/>
          <w:bCs w:val="0"/>
          <w:sz w:val="24"/>
          <w:szCs w:val="24"/>
        </w:rPr>
        <w:t>Our</w:t>
      </w:r>
      <w:r w:rsidRPr="00311FAA">
        <w:rPr>
          <w:rFonts w:asciiTheme="minorHAnsi" w:hAnsiTheme="minorHAnsi" w:cstheme="minorHAnsi"/>
          <w:b w:val="0"/>
          <w:sz w:val="24"/>
          <w:szCs w:val="24"/>
        </w:rPr>
        <w:t xml:space="preserve"> multistate partners have </w:t>
      </w:r>
      <w:r w:rsidRPr="00311FAA">
        <w:rPr>
          <w:rFonts w:asciiTheme="minorHAnsi" w:eastAsia="Times New Roman" w:hAnsiTheme="minorHAnsi" w:cstheme="minorHAnsi"/>
          <w:b w:val="0"/>
          <w:bCs w:val="0"/>
          <w:sz w:val="24"/>
          <w:szCs w:val="24"/>
        </w:rPr>
        <w:t>experience in conducting research on seed germination and seedling</w:t>
      </w:r>
      <w:r w:rsidRPr="00311FAA">
        <w:rPr>
          <w:rFonts w:asciiTheme="minorHAnsi" w:hAnsiTheme="minorHAnsi" w:cstheme="minorHAnsi"/>
          <w:b w:val="0"/>
          <w:sz w:val="24"/>
          <w:szCs w:val="24"/>
        </w:rPr>
        <w:t xml:space="preserve"> emergence </w:t>
      </w:r>
      <w:r w:rsidRPr="00311FAA">
        <w:rPr>
          <w:rFonts w:asciiTheme="minorHAnsi" w:eastAsia="Times New Roman" w:hAnsiTheme="minorHAnsi" w:cstheme="minorHAnsi"/>
          <w:b w:val="0"/>
          <w:bCs w:val="0"/>
          <w:sz w:val="24"/>
          <w:szCs w:val="24"/>
        </w:rPr>
        <w:t>of weeds</w:t>
      </w:r>
      <w:r w:rsidRPr="00311FAA">
        <w:rPr>
          <w:rFonts w:asciiTheme="minorHAnsi" w:hAnsiTheme="minorHAnsi" w:cstheme="minorHAnsi"/>
          <w:b w:val="0"/>
          <w:sz w:val="24"/>
          <w:szCs w:val="24"/>
        </w:rPr>
        <w:t xml:space="preserve">. </w:t>
      </w:r>
    </w:p>
    <w:p w14:paraId="1293E718" w14:textId="5F0B363E" w:rsidR="003B7E4A" w:rsidRPr="00311FAA" w:rsidRDefault="003B7E4A" w:rsidP="003B7E4A">
      <w:pPr>
        <w:pStyle w:val="Heading1"/>
        <w:spacing w:before="161" w:beforeAutospacing="0" w:after="161" w:afterAutospacing="0"/>
        <w:rPr>
          <w:rFonts w:asciiTheme="minorHAnsi" w:hAnsiTheme="minorHAnsi" w:cstheme="minorHAnsi"/>
          <w:b w:val="0"/>
          <w:sz w:val="24"/>
          <w:szCs w:val="24"/>
        </w:rPr>
      </w:pPr>
      <w:r w:rsidRPr="00311FAA">
        <w:rPr>
          <w:rFonts w:asciiTheme="minorHAnsi" w:hAnsiTheme="minorHAnsi" w:cstheme="minorHAnsi"/>
          <w:b w:val="0"/>
          <w:sz w:val="24"/>
          <w:szCs w:val="24"/>
        </w:rPr>
        <w:t xml:space="preserve">Cornell University weed ecologists </w:t>
      </w:r>
      <w:r w:rsidR="003903B5" w:rsidRPr="00311FAA">
        <w:rPr>
          <w:rFonts w:asciiTheme="minorHAnsi" w:hAnsiTheme="minorHAnsi" w:cstheme="minorHAnsi"/>
          <w:b w:val="0"/>
          <w:sz w:val="24"/>
          <w:szCs w:val="24"/>
        </w:rPr>
        <w:t>are</w:t>
      </w:r>
      <w:r w:rsidRPr="00311FAA">
        <w:rPr>
          <w:rFonts w:asciiTheme="minorHAnsi" w:hAnsiTheme="minorHAnsi" w:cstheme="minorHAnsi"/>
          <w:b w:val="0"/>
          <w:sz w:val="24"/>
          <w:szCs w:val="24"/>
        </w:rPr>
        <w:t xml:space="preserve"> at the forefront of </w:t>
      </w:r>
      <w:r w:rsidR="008528CD" w:rsidRPr="00311FAA">
        <w:rPr>
          <w:rFonts w:asciiTheme="minorHAnsi" w:hAnsiTheme="minorHAnsi" w:cstheme="minorHAnsi"/>
          <w:b w:val="0"/>
          <w:sz w:val="24"/>
          <w:szCs w:val="24"/>
        </w:rPr>
        <w:t>weed emergence and climate change research</w:t>
      </w:r>
      <w:r w:rsidRPr="00311FAA">
        <w:rPr>
          <w:rFonts w:asciiTheme="minorHAnsi" w:hAnsiTheme="minorHAnsi" w:cstheme="minorHAnsi"/>
          <w:b w:val="0"/>
          <w:sz w:val="24"/>
          <w:szCs w:val="24"/>
        </w:rPr>
        <w:t xml:space="preserve"> (e.g.</w:t>
      </w:r>
      <w:r w:rsidR="003903B5" w:rsidRPr="00311FAA">
        <w:rPr>
          <w:rFonts w:asciiTheme="minorHAnsi" w:hAnsiTheme="minorHAnsi" w:cstheme="minorHAnsi"/>
          <w:b w:val="0"/>
          <w:sz w:val="24"/>
          <w:szCs w:val="24"/>
        </w:rPr>
        <w:t>,</w:t>
      </w:r>
      <w:r w:rsidRPr="00311FAA">
        <w:rPr>
          <w:rFonts w:asciiTheme="minorHAnsi" w:hAnsiTheme="minorHAnsi" w:cstheme="minorHAnsi"/>
          <w:b w:val="0"/>
          <w:sz w:val="24"/>
          <w:szCs w:val="24"/>
        </w:rPr>
        <w:t xml:space="preserve"> </w:t>
      </w:r>
      <w:proofErr w:type="spellStart"/>
      <w:r w:rsidR="004B13A0" w:rsidRPr="00311FAA">
        <w:rPr>
          <w:rFonts w:asciiTheme="minorHAnsi" w:hAnsiTheme="minorHAnsi" w:cstheme="minorHAnsi"/>
          <w:b w:val="0"/>
          <w:sz w:val="24"/>
        </w:rPr>
        <w:t>Cordeau</w:t>
      </w:r>
      <w:proofErr w:type="spellEnd"/>
      <w:r w:rsidRPr="00311FAA">
        <w:rPr>
          <w:rFonts w:asciiTheme="minorHAnsi" w:hAnsiTheme="minorHAnsi" w:cstheme="minorHAnsi"/>
          <w:b w:val="0"/>
          <w:sz w:val="24"/>
        </w:rPr>
        <w:t xml:space="preserve"> et al</w:t>
      </w:r>
      <w:r w:rsidRPr="00311FAA">
        <w:rPr>
          <w:rFonts w:asciiTheme="minorHAnsi" w:hAnsiTheme="minorHAnsi" w:cstheme="minorHAnsi"/>
          <w:b w:val="0"/>
          <w:sz w:val="24"/>
          <w:szCs w:val="24"/>
        </w:rPr>
        <w:t>.</w:t>
      </w:r>
      <w:r w:rsidRPr="00311FAA">
        <w:rPr>
          <w:rFonts w:asciiTheme="minorHAnsi" w:hAnsiTheme="minorHAnsi" w:cstheme="minorHAnsi"/>
          <w:b w:val="0"/>
          <w:sz w:val="24"/>
        </w:rPr>
        <w:t xml:space="preserve"> </w:t>
      </w:r>
      <w:r w:rsidRPr="00311FAA">
        <w:rPr>
          <w:rFonts w:asciiTheme="minorHAnsi" w:hAnsiTheme="minorHAnsi" w:cstheme="minorHAnsi"/>
          <w:b w:val="0"/>
          <w:sz w:val="24"/>
          <w:szCs w:val="24"/>
        </w:rPr>
        <w:t>20</w:t>
      </w:r>
      <w:r w:rsidR="004B13A0" w:rsidRPr="00311FAA">
        <w:rPr>
          <w:rFonts w:asciiTheme="minorHAnsi" w:hAnsiTheme="minorHAnsi" w:cstheme="minorHAnsi"/>
          <w:b w:val="0"/>
          <w:sz w:val="24"/>
          <w:szCs w:val="24"/>
        </w:rPr>
        <w:t xml:space="preserve">17; Brown et al. 2022, Young et </w:t>
      </w:r>
      <w:r w:rsidR="003903B5" w:rsidRPr="00311FAA">
        <w:rPr>
          <w:rFonts w:asciiTheme="minorHAnsi" w:hAnsiTheme="minorHAnsi" w:cstheme="minorHAnsi"/>
          <w:b w:val="0"/>
          <w:sz w:val="24"/>
          <w:szCs w:val="24"/>
        </w:rPr>
        <w:t>a</w:t>
      </w:r>
      <w:r w:rsidR="004B13A0" w:rsidRPr="00311FAA">
        <w:rPr>
          <w:rFonts w:asciiTheme="minorHAnsi" w:hAnsiTheme="minorHAnsi" w:cstheme="minorHAnsi"/>
          <w:b w:val="0"/>
          <w:sz w:val="24"/>
          <w:szCs w:val="24"/>
        </w:rPr>
        <w:t>l. 2017</w:t>
      </w:r>
      <w:r w:rsidRPr="00311FAA">
        <w:rPr>
          <w:rFonts w:asciiTheme="minorHAnsi" w:hAnsiTheme="minorHAnsi" w:cstheme="minorHAnsi"/>
          <w:b w:val="0"/>
          <w:sz w:val="24"/>
          <w:szCs w:val="24"/>
        </w:rPr>
        <w:t>)</w:t>
      </w:r>
      <w:r w:rsidR="003903B5" w:rsidRPr="00311FAA">
        <w:rPr>
          <w:rFonts w:asciiTheme="minorHAnsi" w:hAnsiTheme="minorHAnsi" w:cstheme="minorHAnsi"/>
          <w:b w:val="0"/>
          <w:sz w:val="24"/>
          <w:szCs w:val="24"/>
        </w:rPr>
        <w:t xml:space="preserve"> </w:t>
      </w:r>
      <w:r w:rsidRPr="00311FAA">
        <w:rPr>
          <w:rFonts w:asciiTheme="minorHAnsi" w:hAnsiTheme="minorHAnsi" w:cstheme="minorHAnsi"/>
          <w:b w:val="0"/>
          <w:sz w:val="24"/>
          <w:szCs w:val="24"/>
        </w:rPr>
        <w:t>and have led multistate weed ecology studies since 201</w:t>
      </w:r>
      <w:r w:rsidR="008528CD" w:rsidRPr="00311FAA">
        <w:rPr>
          <w:rFonts w:asciiTheme="minorHAnsi" w:hAnsiTheme="minorHAnsi" w:cstheme="minorHAnsi"/>
          <w:b w:val="0"/>
          <w:sz w:val="24"/>
          <w:szCs w:val="24"/>
        </w:rPr>
        <w:t>1</w:t>
      </w:r>
      <w:r w:rsidRPr="00311FAA">
        <w:rPr>
          <w:rFonts w:asciiTheme="minorHAnsi" w:hAnsiTheme="minorHAnsi" w:cstheme="minorHAnsi"/>
          <w:b w:val="0"/>
          <w:sz w:val="24"/>
          <w:szCs w:val="24"/>
        </w:rPr>
        <w:t xml:space="preserve"> (</w:t>
      </w:r>
      <w:proofErr w:type="spellStart"/>
      <w:r w:rsidRPr="00311FAA">
        <w:rPr>
          <w:rFonts w:asciiTheme="minorHAnsi" w:hAnsiTheme="minorHAnsi" w:cstheme="minorHAnsi"/>
          <w:b w:val="0"/>
          <w:sz w:val="24"/>
          <w:szCs w:val="24"/>
        </w:rPr>
        <w:t>Mulstistate</w:t>
      </w:r>
      <w:proofErr w:type="spellEnd"/>
      <w:r w:rsidRPr="00311FAA">
        <w:rPr>
          <w:rFonts w:asciiTheme="minorHAnsi" w:hAnsiTheme="minorHAnsi" w:cstheme="minorHAnsi"/>
          <w:b w:val="0"/>
          <w:sz w:val="24"/>
          <w:szCs w:val="24"/>
        </w:rPr>
        <w:t xml:space="preserve"> projects </w:t>
      </w:r>
      <w:r w:rsidR="008528CD" w:rsidRPr="00311FAA">
        <w:rPr>
          <w:rFonts w:asciiTheme="minorHAnsi" w:hAnsiTheme="minorHAnsi" w:cstheme="minorHAnsi"/>
          <w:b w:val="0"/>
          <w:sz w:val="24"/>
          <w:szCs w:val="24"/>
        </w:rPr>
        <w:t>NE-1047 “Ecological Bases for Weed Management in Sustainable Cropping Systems” and NE-1838</w:t>
      </w:r>
      <w:r w:rsidRPr="00311FAA">
        <w:rPr>
          <w:rFonts w:asciiTheme="minorHAnsi" w:hAnsiTheme="minorHAnsi" w:cstheme="minorHAnsi"/>
          <w:b w:val="0"/>
          <w:sz w:val="24"/>
          <w:szCs w:val="24"/>
        </w:rPr>
        <w:t xml:space="preserve">). </w:t>
      </w:r>
      <w:r w:rsidR="00416AB2" w:rsidRPr="00311FAA">
        <w:rPr>
          <w:rFonts w:asciiTheme="minorHAnsi" w:hAnsiTheme="minorHAnsi" w:cstheme="minorHAnsi"/>
          <w:b w:val="0"/>
          <w:sz w:val="24"/>
          <w:szCs w:val="24"/>
        </w:rPr>
        <w:t>T</w:t>
      </w:r>
      <w:r w:rsidRPr="00311FAA">
        <w:rPr>
          <w:rFonts w:asciiTheme="minorHAnsi" w:hAnsiTheme="minorHAnsi" w:cstheme="minorHAnsi"/>
          <w:b w:val="0"/>
          <w:sz w:val="24"/>
          <w:szCs w:val="24"/>
        </w:rPr>
        <w:t>h</w:t>
      </w:r>
      <w:r w:rsidR="008528CD" w:rsidRPr="00311FAA">
        <w:rPr>
          <w:rFonts w:asciiTheme="minorHAnsi" w:hAnsiTheme="minorHAnsi" w:cstheme="minorHAnsi"/>
          <w:b w:val="0"/>
          <w:sz w:val="24"/>
          <w:szCs w:val="24"/>
        </w:rPr>
        <w:t>ese</w:t>
      </w:r>
      <w:r w:rsidRPr="00311FAA">
        <w:rPr>
          <w:rFonts w:asciiTheme="minorHAnsi" w:hAnsiTheme="minorHAnsi" w:cstheme="minorHAnsi"/>
          <w:b w:val="0"/>
          <w:sz w:val="24"/>
          <w:szCs w:val="24"/>
        </w:rPr>
        <w:t xml:space="preserve"> project</w:t>
      </w:r>
      <w:r w:rsidR="008528CD" w:rsidRPr="00311FAA">
        <w:rPr>
          <w:rFonts w:asciiTheme="minorHAnsi" w:hAnsiTheme="minorHAnsi" w:cstheme="minorHAnsi"/>
          <w:b w:val="0"/>
          <w:sz w:val="24"/>
          <w:szCs w:val="24"/>
        </w:rPr>
        <w:t>s</w:t>
      </w:r>
      <w:r w:rsidR="00416AB2" w:rsidRPr="00311FAA">
        <w:rPr>
          <w:rFonts w:asciiTheme="minorHAnsi" w:hAnsiTheme="minorHAnsi" w:cstheme="minorHAnsi"/>
          <w:b w:val="0"/>
          <w:sz w:val="24"/>
          <w:szCs w:val="24"/>
        </w:rPr>
        <w:t xml:space="preserve"> brought together</w:t>
      </w:r>
      <w:r w:rsidRPr="00311FAA">
        <w:rPr>
          <w:rFonts w:asciiTheme="minorHAnsi" w:hAnsiTheme="minorHAnsi" w:cstheme="minorHAnsi"/>
          <w:b w:val="0"/>
          <w:sz w:val="24"/>
          <w:szCs w:val="24"/>
        </w:rPr>
        <w:t xml:space="preserve"> network</w:t>
      </w:r>
      <w:r w:rsidR="008528CD" w:rsidRPr="00311FAA">
        <w:rPr>
          <w:rFonts w:asciiTheme="minorHAnsi" w:hAnsiTheme="minorHAnsi" w:cstheme="minorHAnsi"/>
          <w:b w:val="0"/>
          <w:sz w:val="24"/>
          <w:szCs w:val="24"/>
        </w:rPr>
        <w:t>s</w:t>
      </w:r>
      <w:r w:rsidRPr="00311FAA">
        <w:rPr>
          <w:rFonts w:asciiTheme="minorHAnsi" w:hAnsiTheme="minorHAnsi" w:cstheme="minorHAnsi"/>
          <w:b w:val="0"/>
          <w:sz w:val="24"/>
          <w:szCs w:val="24"/>
        </w:rPr>
        <w:t xml:space="preserve"> of weed scientists from around the region to</w:t>
      </w:r>
      <w:r w:rsidR="008528CD" w:rsidRPr="00311FAA">
        <w:rPr>
          <w:rFonts w:asciiTheme="minorHAnsi" w:hAnsiTheme="minorHAnsi" w:cstheme="minorHAnsi"/>
          <w:b w:val="0"/>
          <w:sz w:val="24"/>
          <w:szCs w:val="24"/>
        </w:rPr>
        <w:t xml:space="preserve"> </w:t>
      </w:r>
      <w:r w:rsidR="00416AB2" w:rsidRPr="00311FAA">
        <w:rPr>
          <w:rFonts w:asciiTheme="minorHAnsi" w:hAnsiTheme="minorHAnsi" w:cstheme="minorHAnsi"/>
          <w:b w:val="0"/>
          <w:sz w:val="24"/>
          <w:szCs w:val="24"/>
        </w:rPr>
        <w:t xml:space="preserve">identify </w:t>
      </w:r>
      <w:r w:rsidR="008528CD" w:rsidRPr="00311FAA">
        <w:rPr>
          <w:rFonts w:asciiTheme="minorHAnsi" w:hAnsiTheme="minorHAnsi" w:cstheme="minorHAnsi"/>
          <w:b w:val="0"/>
          <w:sz w:val="24"/>
          <w:szCs w:val="24"/>
        </w:rPr>
        <w:t xml:space="preserve">effective non-chemical weed management strategies and develop a weed emergence decision support tool for farmers. </w:t>
      </w:r>
    </w:p>
    <w:p w14:paraId="0E7A67CF" w14:textId="06458A94" w:rsidR="003B7E4A" w:rsidRDefault="00272DB4" w:rsidP="001A0CCE">
      <w:pPr>
        <w:rPr>
          <w:sz w:val="23"/>
          <w:szCs w:val="23"/>
        </w:rPr>
      </w:pPr>
      <w:r>
        <w:rPr>
          <w:sz w:val="23"/>
          <w:szCs w:val="23"/>
        </w:rPr>
        <w:t>Penn State collaborator Carolyn</w:t>
      </w:r>
      <w:r w:rsidR="00695403">
        <w:rPr>
          <w:sz w:val="23"/>
          <w:szCs w:val="23"/>
        </w:rPr>
        <w:t xml:space="preserve"> Lowry</w:t>
      </w:r>
      <w:r w:rsidR="00AB0956">
        <w:rPr>
          <w:sz w:val="23"/>
          <w:szCs w:val="23"/>
        </w:rPr>
        <w:t xml:space="preserve">’s </w:t>
      </w:r>
      <w:r w:rsidR="00695403">
        <w:rPr>
          <w:sz w:val="23"/>
          <w:szCs w:val="23"/>
        </w:rPr>
        <w:t>recent work has examin</w:t>
      </w:r>
      <w:r w:rsidR="003E58D1">
        <w:rPr>
          <w:sz w:val="23"/>
          <w:szCs w:val="23"/>
        </w:rPr>
        <w:t>ed</w:t>
      </w:r>
      <w:r w:rsidR="00695403">
        <w:rPr>
          <w:sz w:val="23"/>
          <w:szCs w:val="23"/>
        </w:rPr>
        <w:t xml:space="preserve"> how extreme precipitation events affect weed management efficacy (Lowry, in progress), how abiotic factors influence the composition of weed communities (Lowry et al., in review), and how management factors influence crop-weed competition </w:t>
      </w:r>
      <w:r w:rsidR="002E22AF">
        <w:rPr>
          <w:sz w:val="23"/>
          <w:szCs w:val="23"/>
        </w:rPr>
        <w:t>(Lowry et al</w:t>
      </w:r>
      <w:r w:rsidR="002A3936">
        <w:rPr>
          <w:sz w:val="23"/>
          <w:szCs w:val="23"/>
        </w:rPr>
        <w:t>.</w:t>
      </w:r>
      <w:r w:rsidR="002E22AF">
        <w:rPr>
          <w:sz w:val="23"/>
          <w:szCs w:val="23"/>
        </w:rPr>
        <w:t xml:space="preserve"> 2019)</w:t>
      </w:r>
      <w:r w:rsidR="00695403">
        <w:rPr>
          <w:sz w:val="23"/>
          <w:szCs w:val="23"/>
        </w:rPr>
        <w:t>.</w:t>
      </w:r>
    </w:p>
    <w:p w14:paraId="3B27881E" w14:textId="11903650" w:rsidR="00272DB4" w:rsidRDefault="00272DB4" w:rsidP="001A0CCE">
      <w:pPr>
        <w:rPr>
          <w:sz w:val="23"/>
          <w:szCs w:val="23"/>
        </w:rPr>
      </w:pPr>
      <w:r>
        <w:t xml:space="preserve">University of New Hampshire collaborator Richard Smith’s </w:t>
      </w:r>
      <w:r>
        <w:rPr>
          <w:sz w:val="23"/>
          <w:szCs w:val="23"/>
        </w:rPr>
        <w:t xml:space="preserve">recent work has </w:t>
      </w:r>
      <w:r w:rsidR="002A3936">
        <w:rPr>
          <w:sz w:val="23"/>
          <w:szCs w:val="23"/>
        </w:rPr>
        <w:t xml:space="preserve">investigated </w:t>
      </w:r>
      <w:r>
        <w:rPr>
          <w:sz w:val="23"/>
          <w:szCs w:val="23"/>
        </w:rPr>
        <w:t xml:space="preserve">how soil weed seedbank communities are structured by climate and edaphic factors </w:t>
      </w:r>
      <w:r w:rsidR="002E22AF">
        <w:rPr>
          <w:sz w:val="23"/>
          <w:szCs w:val="23"/>
        </w:rPr>
        <w:t>(Smith et al</w:t>
      </w:r>
      <w:r w:rsidR="002A3936">
        <w:rPr>
          <w:sz w:val="23"/>
          <w:szCs w:val="23"/>
        </w:rPr>
        <w:t>.</w:t>
      </w:r>
      <w:r w:rsidR="002E22AF">
        <w:rPr>
          <w:sz w:val="23"/>
          <w:szCs w:val="23"/>
        </w:rPr>
        <w:t xml:space="preserve"> 2018)</w:t>
      </w:r>
      <w:r>
        <w:rPr>
          <w:sz w:val="23"/>
          <w:szCs w:val="23"/>
        </w:rPr>
        <w:t xml:space="preserve"> and agricultural management practices </w:t>
      </w:r>
      <w:r w:rsidR="002E22AF">
        <w:rPr>
          <w:sz w:val="23"/>
          <w:szCs w:val="23"/>
        </w:rPr>
        <w:t>(Smith et al</w:t>
      </w:r>
      <w:r w:rsidR="002A3936">
        <w:rPr>
          <w:sz w:val="23"/>
          <w:szCs w:val="23"/>
        </w:rPr>
        <w:t>.</w:t>
      </w:r>
      <w:r w:rsidR="002E22AF">
        <w:rPr>
          <w:sz w:val="23"/>
          <w:szCs w:val="23"/>
        </w:rPr>
        <w:t xml:space="preserve"> 2016)</w:t>
      </w:r>
      <w:r>
        <w:rPr>
          <w:sz w:val="23"/>
          <w:szCs w:val="23"/>
        </w:rPr>
        <w:t>.</w:t>
      </w:r>
    </w:p>
    <w:p w14:paraId="6E7888F0" w14:textId="0E48DD83" w:rsidR="00BD65B7" w:rsidRDefault="00BD65B7" w:rsidP="001A0CCE">
      <w:pPr>
        <w:rPr>
          <w:sz w:val="23"/>
          <w:szCs w:val="23"/>
        </w:rPr>
      </w:pPr>
      <w:r>
        <w:rPr>
          <w:sz w:val="23"/>
          <w:szCs w:val="23"/>
        </w:rPr>
        <w:t xml:space="preserve">University of Delaware collaborator Mark </w:t>
      </w:r>
      <w:proofErr w:type="spellStart"/>
      <w:r>
        <w:rPr>
          <w:sz w:val="23"/>
          <w:szCs w:val="23"/>
        </w:rPr>
        <w:t>vanGessel</w:t>
      </w:r>
      <w:proofErr w:type="spellEnd"/>
      <w:r>
        <w:rPr>
          <w:sz w:val="23"/>
          <w:szCs w:val="23"/>
        </w:rPr>
        <w:t xml:space="preserve"> has participated in a wide range of weed emergence research projects</w:t>
      </w:r>
      <w:r w:rsidR="00473818">
        <w:rPr>
          <w:sz w:val="23"/>
          <w:szCs w:val="23"/>
        </w:rPr>
        <w:t xml:space="preserve">. These projects have </w:t>
      </w:r>
      <w:r>
        <w:rPr>
          <w:sz w:val="23"/>
          <w:szCs w:val="23"/>
        </w:rPr>
        <w:t>model</w:t>
      </w:r>
      <w:r w:rsidR="00473818">
        <w:rPr>
          <w:sz w:val="23"/>
          <w:szCs w:val="23"/>
        </w:rPr>
        <w:t>led</w:t>
      </w:r>
      <w:r>
        <w:rPr>
          <w:sz w:val="23"/>
          <w:szCs w:val="23"/>
        </w:rPr>
        <w:t xml:space="preserve"> weed emergence </w:t>
      </w:r>
      <w:r w:rsidR="00473818">
        <w:rPr>
          <w:sz w:val="23"/>
          <w:szCs w:val="23"/>
        </w:rPr>
        <w:t xml:space="preserve">in a variety of </w:t>
      </w:r>
      <w:r>
        <w:rPr>
          <w:sz w:val="23"/>
          <w:szCs w:val="23"/>
        </w:rPr>
        <w:t>Northeast</w:t>
      </w:r>
      <w:r w:rsidR="00473818">
        <w:rPr>
          <w:sz w:val="23"/>
          <w:szCs w:val="23"/>
        </w:rPr>
        <w:t>ern weed species</w:t>
      </w:r>
      <w:r>
        <w:rPr>
          <w:sz w:val="23"/>
          <w:szCs w:val="23"/>
        </w:rPr>
        <w:t xml:space="preserve"> </w:t>
      </w:r>
      <w:r w:rsidRPr="00BD65B7">
        <w:rPr>
          <w:sz w:val="23"/>
          <w:szCs w:val="23"/>
        </w:rPr>
        <w:t>(Myers et al. 2004; Myers et al. 2005</w:t>
      </w:r>
      <w:r>
        <w:rPr>
          <w:sz w:val="23"/>
          <w:szCs w:val="23"/>
        </w:rPr>
        <w:t xml:space="preserve">) </w:t>
      </w:r>
      <w:r w:rsidR="00473818">
        <w:rPr>
          <w:sz w:val="23"/>
          <w:szCs w:val="23"/>
        </w:rPr>
        <w:t xml:space="preserve">including </w:t>
      </w:r>
      <w:r w:rsidRPr="00BD65B7">
        <w:rPr>
          <w:sz w:val="23"/>
          <w:szCs w:val="23"/>
        </w:rPr>
        <w:t>winter annuals (VanGessel et al. 2015) and horseweed (</w:t>
      </w:r>
      <w:r w:rsidRPr="00230609">
        <w:rPr>
          <w:i/>
          <w:iCs/>
          <w:sz w:val="23"/>
          <w:szCs w:val="23"/>
        </w:rPr>
        <w:t>Conyza canadensis</w:t>
      </w:r>
      <w:r w:rsidR="002A3936">
        <w:rPr>
          <w:sz w:val="23"/>
          <w:szCs w:val="23"/>
        </w:rPr>
        <w:t xml:space="preserve">; </w:t>
      </w:r>
      <w:r w:rsidRPr="00BD65B7">
        <w:rPr>
          <w:sz w:val="23"/>
          <w:szCs w:val="23"/>
        </w:rPr>
        <w:t>Dauer et al. 2007).</w:t>
      </w:r>
    </w:p>
    <w:p w14:paraId="588FD4FB" w14:textId="5D5230C5" w:rsidR="00BD65B7" w:rsidRDefault="00BD65B7" w:rsidP="001A0CCE">
      <w:pPr>
        <w:rPr>
          <w:sz w:val="23"/>
          <w:szCs w:val="23"/>
        </w:rPr>
      </w:pPr>
      <w:r>
        <w:rPr>
          <w:sz w:val="24"/>
          <w:szCs w:val="24"/>
        </w:rPr>
        <w:t xml:space="preserve">Rutgers University collaborator </w:t>
      </w:r>
      <w:r w:rsidRPr="00E77BAB">
        <w:rPr>
          <w:sz w:val="24"/>
          <w:szCs w:val="24"/>
        </w:rPr>
        <w:t xml:space="preserve">Thierry </w:t>
      </w:r>
      <w:r w:rsidRPr="00E77BAB">
        <w:rPr>
          <w:rFonts w:eastAsia="Times New Roman"/>
          <w:sz w:val="24"/>
          <w:szCs w:val="24"/>
        </w:rPr>
        <w:t>Besancon</w:t>
      </w:r>
      <w:r w:rsidRPr="00E77BAB">
        <w:rPr>
          <w:sz w:val="24"/>
          <w:szCs w:val="24"/>
        </w:rPr>
        <w:t xml:space="preserve"> </w:t>
      </w:r>
      <w:r w:rsidR="001316D7">
        <w:rPr>
          <w:sz w:val="24"/>
          <w:szCs w:val="24"/>
        </w:rPr>
        <w:t>is researching</w:t>
      </w:r>
      <w:r w:rsidRPr="00E77BAB">
        <w:rPr>
          <w:sz w:val="24"/>
          <w:szCs w:val="24"/>
        </w:rPr>
        <w:t xml:space="preserve"> environmental parameters that govern germination</w:t>
      </w:r>
      <w:r w:rsidR="001316D7">
        <w:rPr>
          <w:sz w:val="24"/>
          <w:szCs w:val="24"/>
        </w:rPr>
        <w:t xml:space="preserve"> and </w:t>
      </w:r>
      <w:r w:rsidRPr="00E77BAB">
        <w:rPr>
          <w:sz w:val="24"/>
          <w:szCs w:val="24"/>
        </w:rPr>
        <w:t>emergence of volunteer cranberry (</w:t>
      </w:r>
      <w:r w:rsidRPr="00E77BAB">
        <w:rPr>
          <w:i/>
          <w:sz w:val="24"/>
          <w:szCs w:val="24"/>
        </w:rPr>
        <w:t>Vaccinium macrocarpon</w:t>
      </w:r>
      <w:r w:rsidRPr="00E77BAB">
        <w:rPr>
          <w:rStyle w:val="CommentReference"/>
          <w:sz w:val="24"/>
          <w:szCs w:val="24"/>
        </w:rPr>
        <w:t>)</w:t>
      </w:r>
      <w:r w:rsidRPr="00E77BAB">
        <w:rPr>
          <w:sz w:val="24"/>
          <w:szCs w:val="24"/>
        </w:rPr>
        <w:t xml:space="preserve"> and Carolina redroot (</w:t>
      </w:r>
      <w:proofErr w:type="spellStart"/>
      <w:r w:rsidRPr="00E77BAB">
        <w:rPr>
          <w:i/>
          <w:sz w:val="24"/>
          <w:szCs w:val="24"/>
        </w:rPr>
        <w:t>Lachnanthes</w:t>
      </w:r>
      <w:proofErr w:type="spellEnd"/>
      <w:r w:rsidRPr="00E77BAB">
        <w:rPr>
          <w:i/>
          <w:sz w:val="24"/>
          <w:szCs w:val="24"/>
        </w:rPr>
        <w:t xml:space="preserve"> </w:t>
      </w:r>
      <w:proofErr w:type="spellStart"/>
      <w:r w:rsidRPr="00E77BAB">
        <w:rPr>
          <w:i/>
          <w:sz w:val="24"/>
          <w:szCs w:val="24"/>
        </w:rPr>
        <w:t>caroliana</w:t>
      </w:r>
      <w:proofErr w:type="spellEnd"/>
      <w:r w:rsidRPr="00E77BAB">
        <w:rPr>
          <w:rStyle w:val="CommentReference"/>
          <w:sz w:val="24"/>
          <w:szCs w:val="24"/>
        </w:rPr>
        <w:t>)</w:t>
      </w:r>
      <w:r w:rsidR="001316D7">
        <w:rPr>
          <w:sz w:val="24"/>
          <w:szCs w:val="24"/>
        </w:rPr>
        <w:t xml:space="preserve">. These </w:t>
      </w:r>
      <w:r w:rsidRPr="00E77BAB">
        <w:rPr>
          <w:sz w:val="24"/>
          <w:szCs w:val="24"/>
        </w:rPr>
        <w:t xml:space="preserve">weeds are challenging for </w:t>
      </w:r>
      <w:r w:rsidRPr="00E77BAB">
        <w:rPr>
          <w:rFonts w:eastAsia="Times New Roman"/>
          <w:sz w:val="24"/>
          <w:szCs w:val="24"/>
        </w:rPr>
        <w:t>New Jersey</w:t>
      </w:r>
      <w:r w:rsidRPr="00E77BAB">
        <w:rPr>
          <w:sz w:val="24"/>
          <w:szCs w:val="24"/>
        </w:rPr>
        <w:t xml:space="preserve"> cranberry growers</w:t>
      </w:r>
      <w:r w:rsidR="001316D7">
        <w:rPr>
          <w:sz w:val="24"/>
          <w:szCs w:val="24"/>
        </w:rPr>
        <w:t xml:space="preserve"> </w:t>
      </w:r>
      <w:r w:rsidRPr="00E77BAB">
        <w:rPr>
          <w:sz w:val="24"/>
          <w:szCs w:val="24"/>
        </w:rPr>
        <w:t>because of genetic pollution of the cranberry beds or direct competition with the cranberry vines.</w:t>
      </w:r>
    </w:p>
    <w:p w14:paraId="2413D7C6" w14:textId="76BCE9E0" w:rsidR="00272DB4" w:rsidRDefault="00272DB4" w:rsidP="001A0CCE"/>
    <w:p w14:paraId="6B39BC8C" w14:textId="6A73B226" w:rsidR="00BD65B7" w:rsidRDefault="00BD65B7" w:rsidP="00BD65B7">
      <w:pPr>
        <w:pStyle w:val="Heading1"/>
        <w:spacing w:before="161" w:beforeAutospacing="0" w:after="161" w:afterAutospacing="0"/>
        <w:rPr>
          <w:rFonts w:ascii="Arial" w:eastAsia="Times New Roman" w:hAnsi="Arial" w:cs="Arial"/>
          <w:b w:val="0"/>
          <w:bCs w:val="0"/>
          <w:color w:val="4B4441"/>
        </w:rPr>
      </w:pPr>
      <w:r w:rsidRPr="00E77BAB">
        <w:rPr>
          <w:rFonts w:ascii="Arial" w:eastAsia="Times New Roman" w:hAnsi="Arial" w:cs="Arial"/>
          <w:b w:val="0"/>
          <w:bCs w:val="0"/>
          <w:color w:val="4B4441"/>
        </w:rPr>
        <w:t>Objectives</w:t>
      </w:r>
    </w:p>
    <w:p w14:paraId="738643F4" w14:textId="54937861" w:rsidR="006701DE" w:rsidRPr="006701DE" w:rsidRDefault="006701DE" w:rsidP="00BD65B7">
      <w:pPr>
        <w:pStyle w:val="Heading1"/>
        <w:spacing w:before="161" w:beforeAutospacing="0" w:after="161" w:afterAutospacing="0"/>
        <w:rPr>
          <w:rFonts w:ascii="Arial" w:eastAsia="Times New Roman" w:hAnsi="Arial" w:cs="Arial"/>
          <w:b w:val="0"/>
          <w:bCs w:val="0"/>
          <w:color w:val="808080" w:themeColor="background1" w:themeShade="80"/>
        </w:rPr>
      </w:pPr>
      <w:r w:rsidRPr="006701DE">
        <w:rPr>
          <w:rFonts w:ascii="Open Sans" w:hAnsi="Open Sans" w:cs="Open Sans"/>
          <w:color w:val="808080" w:themeColor="background1" w:themeShade="80"/>
          <w:sz w:val="18"/>
          <w:szCs w:val="18"/>
          <w:shd w:val="clear" w:color="auto" w:fill="FFFFFF"/>
        </w:rPr>
        <w:t>Clear, concise, one-sentence statements for each researchable objective arranged in a logical sequence. Include only objectives on which significant progress can be made during the life of the project with the resources committed. Do not specify the exchange of information, the coordination of research, the development of standardized techniques, or joint publication as objectives, as these are to be organized under other types of activities. Each participant should indicate in Appendix E those objectives in which he/she will participate. Max characters = 4000.</w:t>
      </w:r>
    </w:p>
    <w:p w14:paraId="56C22458" w14:textId="77777777" w:rsidR="006701DE" w:rsidRDefault="00BD65B7" w:rsidP="00BD65B7">
      <w:pPr>
        <w:rPr>
          <w:rFonts w:ascii="Times New Roman" w:hAnsi="Times New Roman" w:cs="Times New Roman"/>
        </w:rPr>
      </w:pPr>
      <w:r w:rsidRPr="00C549E9">
        <w:rPr>
          <w:rFonts w:ascii="Times New Roman" w:hAnsi="Times New Roman" w:cs="Times New Roman"/>
        </w:rPr>
        <w:lastRenderedPageBreak/>
        <w:t>The goal of the proposed research is to better understand how increasing temperatures associated with climate change will affect weed emergence timing of both summer and winter annual weed species.</w:t>
      </w:r>
    </w:p>
    <w:p w14:paraId="44861F79" w14:textId="2248180F" w:rsidR="006701DE" w:rsidRDefault="006701DE" w:rsidP="006701DE">
      <w:pPr>
        <w:pStyle w:val="ListParagraph"/>
        <w:numPr>
          <w:ilvl w:val="0"/>
          <w:numId w:val="2"/>
        </w:numPr>
        <w:rPr>
          <w:rFonts w:ascii="Times New Roman" w:hAnsi="Times New Roman" w:cs="Times New Roman"/>
        </w:rPr>
      </w:pPr>
      <w:r>
        <w:rPr>
          <w:rFonts w:ascii="Times New Roman" w:hAnsi="Times New Roman" w:cs="Times New Roman"/>
        </w:rPr>
        <w:t xml:space="preserve">Objective </w:t>
      </w:r>
      <w:r w:rsidR="00BD65B7" w:rsidRPr="006701DE">
        <w:rPr>
          <w:rFonts w:ascii="Times New Roman" w:hAnsi="Times New Roman" w:cs="Times New Roman"/>
        </w:rPr>
        <w:t>1</w:t>
      </w:r>
      <w:r>
        <w:rPr>
          <w:rFonts w:ascii="Times New Roman" w:hAnsi="Times New Roman" w:cs="Times New Roman"/>
        </w:rPr>
        <w:t>:</w:t>
      </w:r>
      <w:r w:rsidR="00BD65B7" w:rsidRPr="006701DE">
        <w:rPr>
          <w:rFonts w:ascii="Times New Roman" w:hAnsi="Times New Roman" w:cs="Times New Roman"/>
        </w:rPr>
        <w:t xml:space="preserve"> </w:t>
      </w:r>
      <w:r w:rsidR="0023009E">
        <w:rPr>
          <w:rFonts w:ascii="Times New Roman" w:hAnsi="Times New Roman" w:cs="Times New Roman"/>
        </w:rPr>
        <w:t>E</w:t>
      </w:r>
      <w:r w:rsidR="00BD65B7" w:rsidRPr="006701DE">
        <w:rPr>
          <w:rFonts w:ascii="Times New Roman" w:hAnsi="Times New Roman" w:cs="Times New Roman"/>
        </w:rPr>
        <w:t>valuat</w:t>
      </w:r>
      <w:r>
        <w:rPr>
          <w:rFonts w:ascii="Times New Roman" w:hAnsi="Times New Roman" w:cs="Times New Roman"/>
        </w:rPr>
        <w:t>e</w:t>
      </w:r>
      <w:r w:rsidR="00BD65B7" w:rsidRPr="006701DE">
        <w:rPr>
          <w:rFonts w:ascii="Times New Roman" w:hAnsi="Times New Roman" w:cs="Times New Roman"/>
        </w:rPr>
        <w:t xml:space="preserve"> how weed emergence </w:t>
      </w:r>
      <w:r w:rsidR="00230609">
        <w:rPr>
          <w:rFonts w:ascii="Times New Roman" w:hAnsi="Times New Roman" w:cs="Times New Roman"/>
        </w:rPr>
        <w:t xml:space="preserve">timing </w:t>
      </w:r>
      <w:r w:rsidR="00BD65B7" w:rsidRPr="006701DE">
        <w:rPr>
          <w:rFonts w:ascii="Times New Roman" w:hAnsi="Times New Roman" w:cs="Times New Roman"/>
        </w:rPr>
        <w:t xml:space="preserve">varies </w:t>
      </w:r>
      <w:r w:rsidR="00230609">
        <w:rPr>
          <w:rFonts w:ascii="Times New Roman" w:hAnsi="Times New Roman" w:cs="Times New Roman"/>
        </w:rPr>
        <w:t>under ambient</w:t>
      </w:r>
      <w:r w:rsidR="008A73F2">
        <w:rPr>
          <w:rFonts w:ascii="Times New Roman" w:hAnsi="Times New Roman" w:cs="Times New Roman"/>
        </w:rPr>
        <w:t xml:space="preserve"> (control)</w:t>
      </w:r>
      <w:r w:rsidR="00230609">
        <w:rPr>
          <w:rFonts w:ascii="Times New Roman" w:hAnsi="Times New Roman" w:cs="Times New Roman"/>
        </w:rPr>
        <w:t xml:space="preserve"> and increased temperature conditions </w:t>
      </w:r>
      <w:r w:rsidR="00BD65B7" w:rsidRPr="006701DE">
        <w:rPr>
          <w:rFonts w:ascii="Times New Roman" w:hAnsi="Times New Roman" w:cs="Times New Roman"/>
        </w:rPr>
        <w:t>across multiple sites that vary in environmental conditions (NH, PA, NY, DE, NJ</w:t>
      </w:r>
      <w:r w:rsidR="007E001D">
        <w:rPr>
          <w:rFonts w:ascii="Times New Roman" w:hAnsi="Times New Roman" w:cs="Times New Roman"/>
        </w:rPr>
        <w:t>)</w:t>
      </w:r>
      <w:r>
        <w:rPr>
          <w:rFonts w:ascii="Times New Roman" w:hAnsi="Times New Roman" w:cs="Times New Roman"/>
        </w:rPr>
        <w:t>.</w:t>
      </w:r>
    </w:p>
    <w:p w14:paraId="7C26F6A3" w14:textId="18896933" w:rsidR="00BD65B7" w:rsidRPr="006701DE" w:rsidRDefault="006701DE" w:rsidP="006701DE">
      <w:pPr>
        <w:pStyle w:val="ListParagraph"/>
        <w:numPr>
          <w:ilvl w:val="0"/>
          <w:numId w:val="2"/>
        </w:numPr>
        <w:rPr>
          <w:rFonts w:ascii="Times New Roman" w:hAnsi="Times New Roman" w:cs="Times New Roman"/>
        </w:rPr>
      </w:pPr>
      <w:r>
        <w:rPr>
          <w:rFonts w:ascii="Times New Roman" w:hAnsi="Times New Roman" w:cs="Times New Roman"/>
        </w:rPr>
        <w:t>Objective 2:</w:t>
      </w:r>
      <w:r w:rsidR="00BD65B7" w:rsidRPr="006701DE">
        <w:rPr>
          <w:rFonts w:ascii="Times New Roman" w:hAnsi="Times New Roman" w:cs="Times New Roman"/>
        </w:rPr>
        <w:t xml:space="preserve"> </w:t>
      </w:r>
      <w:r w:rsidR="0023009E">
        <w:rPr>
          <w:rFonts w:ascii="Times New Roman" w:hAnsi="Times New Roman" w:cs="Times New Roman"/>
        </w:rPr>
        <w:t>D</w:t>
      </w:r>
      <w:r w:rsidR="002D0C7B">
        <w:rPr>
          <w:rFonts w:ascii="Times New Roman" w:hAnsi="Times New Roman" w:cs="Times New Roman"/>
        </w:rPr>
        <w:t xml:space="preserve">eploy </w:t>
      </w:r>
      <w:r w:rsidR="002D0C7B" w:rsidRPr="006701DE">
        <w:rPr>
          <w:rFonts w:ascii="Times New Roman" w:hAnsi="Times New Roman" w:cs="Times New Roman"/>
        </w:rPr>
        <w:t>open-top chambers (OTCs)</w:t>
      </w:r>
      <w:r w:rsidR="002D0C7B">
        <w:rPr>
          <w:rFonts w:ascii="Times New Roman" w:hAnsi="Times New Roman" w:cs="Times New Roman"/>
        </w:rPr>
        <w:t xml:space="preserve"> for </w:t>
      </w:r>
      <w:r w:rsidR="00BD65B7" w:rsidRPr="006701DE">
        <w:rPr>
          <w:rFonts w:ascii="Times New Roman" w:hAnsi="Times New Roman" w:cs="Times New Roman"/>
        </w:rPr>
        <w:t xml:space="preserve">in situ manipulation of air and soil temperatures </w:t>
      </w:r>
      <w:r w:rsidR="002D0C7B">
        <w:rPr>
          <w:rFonts w:ascii="Times New Roman" w:hAnsi="Times New Roman" w:cs="Times New Roman"/>
        </w:rPr>
        <w:t>at</w:t>
      </w:r>
      <w:r w:rsidR="002D0C7B" w:rsidRPr="006701DE">
        <w:rPr>
          <w:rFonts w:ascii="Times New Roman" w:hAnsi="Times New Roman" w:cs="Times New Roman"/>
        </w:rPr>
        <w:t xml:space="preserve"> </w:t>
      </w:r>
      <w:r w:rsidR="00BD65B7" w:rsidRPr="006701DE">
        <w:rPr>
          <w:rFonts w:ascii="Times New Roman" w:hAnsi="Times New Roman" w:cs="Times New Roman"/>
        </w:rPr>
        <w:t xml:space="preserve">each site </w:t>
      </w:r>
      <w:r w:rsidR="007E001D">
        <w:rPr>
          <w:rFonts w:ascii="Times New Roman" w:hAnsi="Times New Roman" w:cs="Times New Roman"/>
        </w:rPr>
        <w:t xml:space="preserve">to </w:t>
      </w:r>
      <w:r w:rsidR="002D0C7B">
        <w:rPr>
          <w:rFonts w:ascii="Times New Roman" w:hAnsi="Times New Roman" w:cs="Times New Roman"/>
        </w:rPr>
        <w:t>determine how</w:t>
      </w:r>
      <w:r w:rsidR="007E001D">
        <w:rPr>
          <w:rFonts w:ascii="Times New Roman" w:hAnsi="Times New Roman" w:cs="Times New Roman"/>
        </w:rPr>
        <w:t xml:space="preserve"> increasing temperature </w:t>
      </w:r>
      <w:r w:rsidR="002D0C7B">
        <w:rPr>
          <w:rFonts w:ascii="Times New Roman" w:hAnsi="Times New Roman" w:cs="Times New Roman"/>
        </w:rPr>
        <w:t xml:space="preserve">affects </w:t>
      </w:r>
      <w:r w:rsidR="007E001D">
        <w:rPr>
          <w:rFonts w:ascii="Times New Roman" w:hAnsi="Times New Roman" w:cs="Times New Roman"/>
        </w:rPr>
        <w:t>emergence of winter and summer annual weeds.</w:t>
      </w:r>
    </w:p>
    <w:p w14:paraId="32825EFA" w14:textId="4EC04CDC" w:rsidR="00BD65B7" w:rsidRDefault="00BD65B7" w:rsidP="001A0CCE"/>
    <w:p w14:paraId="4F420DA4" w14:textId="77777777" w:rsidR="00BD65B7" w:rsidRPr="00E77BAB" w:rsidRDefault="00BD65B7" w:rsidP="00BD65B7">
      <w:pPr>
        <w:pStyle w:val="Heading1"/>
        <w:spacing w:before="161" w:beforeAutospacing="0" w:after="161" w:afterAutospacing="0"/>
        <w:rPr>
          <w:rFonts w:ascii="Arial" w:eastAsia="Times New Roman" w:hAnsi="Arial" w:cs="Arial"/>
          <w:b w:val="0"/>
          <w:bCs w:val="0"/>
          <w:color w:val="4B4441"/>
        </w:rPr>
      </w:pPr>
      <w:r w:rsidRPr="00E77BAB">
        <w:rPr>
          <w:rFonts w:ascii="Arial" w:eastAsia="Times New Roman" w:hAnsi="Arial" w:cs="Arial"/>
          <w:b w:val="0"/>
          <w:bCs w:val="0"/>
          <w:color w:val="4B4441"/>
        </w:rPr>
        <w:t>Methods</w:t>
      </w:r>
    </w:p>
    <w:p w14:paraId="42517BEC" w14:textId="15632342" w:rsidR="00BD65B7" w:rsidRPr="007E001D" w:rsidRDefault="007E001D" w:rsidP="001A0CCE">
      <w:pPr>
        <w:rPr>
          <w:color w:val="808080" w:themeColor="background1" w:themeShade="80"/>
        </w:rPr>
      </w:pPr>
      <w:r w:rsidRPr="007E001D">
        <w:rPr>
          <w:rFonts w:ascii="Open Sans" w:hAnsi="Open Sans" w:cs="Open Sans"/>
          <w:color w:val="808080" w:themeColor="background1" w:themeShade="80"/>
          <w:sz w:val="18"/>
          <w:szCs w:val="18"/>
          <w:shd w:val="clear" w:color="auto" w:fill="FFFFFF"/>
        </w:rPr>
        <w:t>Briefly summarize the research methods that will be used to address each of the objectives. Explicit information should be included to enable the reviewers to evaluate the approach and to discern joint planning and coordination by the technical committee, the sharing of equipment, possible pooling of data, data analysis, and the multistate summarization of findings, in other words, show that this is a collective effort. Max characters = 20,000.</w:t>
      </w:r>
    </w:p>
    <w:p w14:paraId="4A94EEBB" w14:textId="77777777" w:rsidR="00BD65B7" w:rsidRPr="00C549E9" w:rsidRDefault="00BD65B7" w:rsidP="00BD65B7">
      <w:pPr>
        <w:rPr>
          <w:rFonts w:ascii="Times New Roman" w:hAnsi="Times New Roman" w:cs="Times New Roman"/>
          <w:b/>
          <w:bCs/>
          <w:u w:val="single"/>
        </w:rPr>
      </w:pPr>
      <w:r w:rsidRPr="00C549E9">
        <w:rPr>
          <w:rFonts w:ascii="Times New Roman" w:hAnsi="Times New Roman" w:cs="Times New Roman"/>
          <w:b/>
          <w:bCs/>
          <w:u w:val="single"/>
        </w:rPr>
        <w:t>Experimental Design:</w:t>
      </w:r>
    </w:p>
    <w:p w14:paraId="4E9760A3" w14:textId="77777777" w:rsidR="00BD65B7" w:rsidRPr="00C549E9" w:rsidRDefault="00BD65B7" w:rsidP="00BD65B7">
      <w:pPr>
        <w:rPr>
          <w:rFonts w:ascii="Times New Roman" w:hAnsi="Times New Roman" w:cs="Times New Roman"/>
        </w:rPr>
      </w:pPr>
    </w:p>
    <w:p w14:paraId="20632BDA" w14:textId="01343A08" w:rsidR="00BD65B7" w:rsidRDefault="0023009E" w:rsidP="00BD65B7">
      <w:pPr>
        <w:rPr>
          <w:rFonts w:ascii="Times New Roman" w:hAnsi="Times New Roman" w:cs="Times New Roman"/>
        </w:rPr>
      </w:pPr>
      <w:r>
        <w:rPr>
          <w:rFonts w:ascii="Times New Roman" w:hAnsi="Times New Roman" w:cs="Times New Roman"/>
        </w:rPr>
        <w:t>The study will consist of two treatments: 1)</w:t>
      </w:r>
      <w:r w:rsidR="009F354C">
        <w:rPr>
          <w:rFonts w:ascii="Times New Roman" w:hAnsi="Times New Roman" w:cs="Times New Roman"/>
        </w:rPr>
        <w:t xml:space="preserve"> “Warmed”: </w:t>
      </w:r>
      <w:r>
        <w:rPr>
          <w:rFonts w:ascii="Times New Roman" w:hAnsi="Times New Roman" w:cs="Times New Roman"/>
        </w:rPr>
        <w:t xml:space="preserve"> </w:t>
      </w:r>
      <w:r w:rsidR="009F354C">
        <w:rPr>
          <w:rFonts w:ascii="Times New Roman" w:hAnsi="Times New Roman" w:cs="Times New Roman"/>
        </w:rPr>
        <w:t xml:space="preserve">a warmer-climate treatment with an OTC, recording OTC-modified temperature, soil moisture, and weed </w:t>
      </w:r>
      <w:proofErr w:type="gramStart"/>
      <w:r w:rsidR="009F354C">
        <w:rPr>
          <w:rFonts w:ascii="Times New Roman" w:hAnsi="Times New Roman" w:cs="Times New Roman"/>
        </w:rPr>
        <w:t xml:space="preserve">emergence, </w:t>
      </w:r>
      <w:r w:rsidR="00BD65B7" w:rsidRPr="00C549E9">
        <w:rPr>
          <w:rFonts w:ascii="Times New Roman" w:hAnsi="Times New Roman" w:cs="Times New Roman"/>
        </w:rPr>
        <w:t xml:space="preserve"> </w:t>
      </w:r>
      <w:r>
        <w:rPr>
          <w:rFonts w:ascii="Times New Roman" w:hAnsi="Times New Roman" w:cs="Times New Roman"/>
        </w:rPr>
        <w:t>2</w:t>
      </w:r>
      <w:proofErr w:type="gramEnd"/>
      <w:r>
        <w:rPr>
          <w:rFonts w:ascii="Times New Roman" w:hAnsi="Times New Roman" w:cs="Times New Roman"/>
        </w:rPr>
        <w:t>)</w:t>
      </w:r>
      <w:r w:rsidR="009F354C">
        <w:rPr>
          <w:rFonts w:ascii="Times New Roman" w:hAnsi="Times New Roman" w:cs="Times New Roman"/>
        </w:rPr>
        <w:t xml:space="preserve"> “Control”:</w:t>
      </w:r>
      <w:r>
        <w:rPr>
          <w:rFonts w:ascii="Times New Roman" w:hAnsi="Times New Roman" w:cs="Times New Roman"/>
        </w:rPr>
        <w:t xml:space="preserve"> </w:t>
      </w:r>
      <w:r w:rsidR="009F354C">
        <w:rPr>
          <w:rFonts w:ascii="Times New Roman" w:hAnsi="Times New Roman" w:cs="Times New Roman"/>
        </w:rPr>
        <w:t>a control treatment with no OTC, recording ambient temperature, soil moisture and weed emergence . These will be</w:t>
      </w:r>
      <w:r>
        <w:rPr>
          <w:rFonts w:ascii="Times New Roman" w:hAnsi="Times New Roman" w:cs="Times New Roman"/>
        </w:rPr>
        <w:t xml:space="preserve"> arranged in a randomized complete block design with four replications.</w:t>
      </w:r>
      <w:r w:rsidR="008A73F2">
        <w:rPr>
          <w:rFonts w:ascii="Times New Roman" w:hAnsi="Times New Roman" w:cs="Times New Roman"/>
        </w:rPr>
        <w:t xml:space="preserve"> Plots will have no crops planted and will be</w:t>
      </w:r>
      <w:r>
        <w:rPr>
          <w:rFonts w:ascii="Times New Roman" w:hAnsi="Times New Roman" w:cs="Times New Roman"/>
        </w:rPr>
        <w:t xml:space="preserve"> 1 m</w:t>
      </w:r>
      <w:r w:rsidRPr="005207A5">
        <w:rPr>
          <w:rFonts w:ascii="Times New Roman" w:hAnsi="Times New Roman" w:cs="Times New Roman"/>
          <w:vertAlign w:val="superscript"/>
        </w:rPr>
        <w:t>2</w:t>
      </w:r>
      <w:r>
        <w:rPr>
          <w:rFonts w:ascii="Times New Roman" w:hAnsi="Times New Roman" w:cs="Times New Roman"/>
        </w:rPr>
        <w:t>, which is the maximum area that can be consistently warmed within the OTC structures.</w:t>
      </w:r>
      <w:r w:rsidR="009F354C">
        <w:rPr>
          <w:rFonts w:ascii="Times New Roman" w:hAnsi="Times New Roman" w:cs="Times New Roman"/>
        </w:rPr>
        <w:t xml:space="preserve"> Data will be collected from the center 0.25m^2, but the data collection area will be adjusted to 0.5 m^2 if weed emergence is low</w:t>
      </w:r>
      <w:r w:rsidR="008A73F2">
        <w:rPr>
          <w:rFonts w:ascii="Times New Roman" w:hAnsi="Times New Roman" w:cs="Times New Roman"/>
        </w:rPr>
        <w:t xml:space="preserve"> or</w:t>
      </w:r>
      <w:r w:rsidR="009F354C">
        <w:rPr>
          <w:rFonts w:ascii="Times New Roman" w:hAnsi="Times New Roman" w:cs="Times New Roman"/>
        </w:rPr>
        <w:t xml:space="preserve"> subsampled if emergence </w:t>
      </w:r>
      <w:r w:rsidR="008A73F2">
        <w:rPr>
          <w:rFonts w:ascii="Times New Roman" w:hAnsi="Times New Roman" w:cs="Times New Roman"/>
        </w:rPr>
        <w:t>is</w:t>
      </w:r>
      <w:r w:rsidR="009F354C">
        <w:rPr>
          <w:rFonts w:ascii="Times New Roman" w:hAnsi="Times New Roman" w:cs="Times New Roman"/>
        </w:rPr>
        <w:t xml:space="preserve"> very high. Plots will be at least 20’ apart to limit any </w:t>
      </w:r>
      <w:proofErr w:type="spellStart"/>
      <w:r w:rsidR="009F354C">
        <w:rPr>
          <w:rFonts w:ascii="Times New Roman" w:hAnsi="Times New Roman" w:cs="Times New Roman"/>
        </w:rPr>
        <w:t>affect</w:t>
      </w:r>
      <w:proofErr w:type="spellEnd"/>
      <w:r w:rsidR="009F354C">
        <w:rPr>
          <w:rFonts w:ascii="Times New Roman" w:hAnsi="Times New Roman" w:cs="Times New Roman"/>
        </w:rPr>
        <w:t xml:space="preserve"> of OTCs on snow fall in neighboring plots, which might affect the conditions overwintering seeds experience. The experiment will be moved each year so that plots are on novel locations, to avoid exhaustion of the seed bank, but researchers will attempt to keep them in the same general area to reduce variability introduced by changing soil types.</w:t>
      </w:r>
      <w:r>
        <w:rPr>
          <w:rFonts w:ascii="Times New Roman" w:hAnsi="Times New Roman" w:cs="Times New Roman"/>
        </w:rPr>
        <w:t xml:space="preserve"> </w:t>
      </w:r>
    </w:p>
    <w:p w14:paraId="1D1C3F40" w14:textId="33083224" w:rsidR="005207A5" w:rsidRPr="00C549E9" w:rsidRDefault="005207A5" w:rsidP="005207A5">
      <w:pPr>
        <w:rPr>
          <w:rFonts w:ascii="Times New Roman" w:hAnsi="Times New Roman" w:cs="Times New Roman"/>
        </w:rPr>
      </w:pPr>
      <w:r w:rsidRPr="00C549E9">
        <w:rPr>
          <w:rFonts w:ascii="Times New Roman" w:hAnsi="Times New Roman" w:cs="Times New Roman"/>
          <w:i/>
          <w:iCs/>
        </w:rPr>
        <w:t>Warmed Plots:</w:t>
      </w:r>
      <w:r w:rsidRPr="00C549E9">
        <w:rPr>
          <w:rFonts w:ascii="Times New Roman" w:hAnsi="Times New Roman" w:cs="Times New Roman"/>
        </w:rPr>
        <w:t xml:space="preserve"> To simulate increasing temperatures associated with climate change we will use </w:t>
      </w:r>
      <w:r w:rsidRPr="00C549E9">
        <w:rPr>
          <w:rFonts w:ascii="Times New Roman" w:hAnsi="Times New Roman" w:cs="Times New Roman"/>
          <w:color w:val="000000" w:themeColor="text1"/>
        </w:rPr>
        <w:t>hexagonal open-top chambers (OTCs). OTCs will be constructed from 1 mm thick Su</w:t>
      </w:r>
      <w:r w:rsidRPr="00C549E9">
        <w:rPr>
          <w:rFonts w:ascii="Times New Roman" w:hAnsi="Times New Roman" w:cs="Times New Roman"/>
          <w:color w:val="211D1E"/>
        </w:rPr>
        <w:t xml:space="preserve">n-Lite HP (Solar Components Corporation) attached to a metal frame, with a 2.65 m basal diameter, a top opening diameter of 1.75 m, and a height of 0.8 m. </w:t>
      </w:r>
      <w:r w:rsidRPr="00C549E9">
        <w:rPr>
          <w:rFonts w:ascii="Times New Roman" w:hAnsi="Times New Roman" w:cs="Times New Roman"/>
        </w:rPr>
        <w:t>OTCs will be anchored into randomly fixed points in the ground. The OTCs will remain on the plots across all seasons for the entire duration of the experiment, and only be removed temporarily for emergence counts and plot maintenance (seeding out new species). The OTCs described above have been deployed in central PA for over two years</w:t>
      </w:r>
      <w:r w:rsidR="008A73F2">
        <w:rPr>
          <w:rFonts w:ascii="Times New Roman" w:hAnsi="Times New Roman" w:cs="Times New Roman"/>
        </w:rPr>
        <w:t>.</w:t>
      </w:r>
    </w:p>
    <w:p w14:paraId="79949DE3" w14:textId="77777777" w:rsidR="005207A5" w:rsidRDefault="005207A5" w:rsidP="00BD65B7">
      <w:pPr>
        <w:rPr>
          <w:rFonts w:ascii="Times New Roman" w:hAnsi="Times New Roman" w:cs="Times New Roman"/>
        </w:rPr>
      </w:pPr>
    </w:p>
    <w:p w14:paraId="3BD2EFCE" w14:textId="4DD80F2F" w:rsidR="009F354C" w:rsidRDefault="009F354C" w:rsidP="00BD65B7">
      <w:pPr>
        <w:rPr>
          <w:rFonts w:ascii="Times New Roman" w:hAnsi="Times New Roman" w:cs="Times New Roman"/>
        </w:rPr>
      </w:pPr>
      <w:r>
        <w:rPr>
          <w:rFonts w:ascii="Times New Roman" w:hAnsi="Times New Roman" w:cs="Times New Roman"/>
        </w:rPr>
        <w:t>For this experiment, researchers will record weed emergence for the most common 10 summer annual</w:t>
      </w:r>
      <w:r w:rsidR="008A73F2">
        <w:rPr>
          <w:rFonts w:ascii="Times New Roman" w:hAnsi="Times New Roman" w:cs="Times New Roman"/>
        </w:rPr>
        <w:t xml:space="preserve"> weeds</w:t>
      </w:r>
      <w:r>
        <w:rPr>
          <w:rFonts w:ascii="Times New Roman" w:hAnsi="Times New Roman" w:cs="Times New Roman"/>
        </w:rPr>
        <w:t xml:space="preserve"> at their site, and will also include if present these species of interest:</w:t>
      </w:r>
    </w:p>
    <w:p w14:paraId="5A3711B3" w14:textId="3D2CFB8A" w:rsidR="009F354C" w:rsidRDefault="00061DBD" w:rsidP="00F260BE">
      <w:pPr>
        <w:pStyle w:val="ListParagraph"/>
        <w:numPr>
          <w:ilvl w:val="0"/>
          <w:numId w:val="4"/>
        </w:numPr>
        <w:rPr>
          <w:rFonts w:ascii="Times New Roman" w:hAnsi="Times New Roman" w:cs="Times New Roman"/>
        </w:rPr>
      </w:pPr>
      <w:r w:rsidRPr="005207A5">
        <w:rPr>
          <w:rFonts w:ascii="Times New Roman" w:hAnsi="Times New Roman" w:cs="Times New Roman"/>
        </w:rPr>
        <w:t>Smooth pigweed</w:t>
      </w:r>
      <w:r w:rsidR="009F354C" w:rsidRPr="009F354C">
        <w:rPr>
          <w:rFonts w:ascii="Times New Roman" w:hAnsi="Times New Roman" w:cs="Times New Roman"/>
        </w:rPr>
        <w:t xml:space="preserve"> or redroot pigweed</w:t>
      </w:r>
      <w:r w:rsidR="005207A5">
        <w:rPr>
          <w:rFonts w:ascii="Times New Roman" w:hAnsi="Times New Roman" w:cs="Times New Roman"/>
        </w:rPr>
        <w:t xml:space="preserve"> (</w:t>
      </w:r>
      <w:r w:rsidR="005207A5" w:rsidRPr="005207A5">
        <w:rPr>
          <w:rFonts w:ascii="Times New Roman" w:hAnsi="Times New Roman" w:cs="Times New Roman"/>
          <w:i/>
          <w:iCs/>
        </w:rPr>
        <w:t xml:space="preserve">Amaranthus hybridus </w:t>
      </w:r>
      <w:r w:rsidR="005207A5" w:rsidRPr="005207A5">
        <w:rPr>
          <w:rFonts w:ascii="Times New Roman" w:hAnsi="Times New Roman" w:cs="Times New Roman"/>
        </w:rPr>
        <w:t>or</w:t>
      </w:r>
      <w:r w:rsidR="005207A5" w:rsidRPr="005207A5">
        <w:rPr>
          <w:rFonts w:ascii="Times New Roman" w:hAnsi="Times New Roman" w:cs="Times New Roman"/>
          <w:i/>
          <w:iCs/>
        </w:rPr>
        <w:t xml:space="preserve"> </w:t>
      </w:r>
      <w:proofErr w:type="spellStart"/>
      <w:r w:rsidR="005207A5" w:rsidRPr="005207A5">
        <w:rPr>
          <w:rFonts w:ascii="Times New Roman" w:hAnsi="Times New Roman" w:cs="Times New Roman"/>
          <w:i/>
          <w:iCs/>
        </w:rPr>
        <w:t>retroflexus</w:t>
      </w:r>
      <w:proofErr w:type="spellEnd"/>
      <w:r w:rsidR="005207A5">
        <w:rPr>
          <w:rFonts w:ascii="Times New Roman" w:hAnsi="Times New Roman" w:cs="Times New Roman"/>
        </w:rPr>
        <w:t>)</w:t>
      </w:r>
    </w:p>
    <w:p w14:paraId="13B329C9" w14:textId="517A11F1" w:rsidR="009F354C" w:rsidRDefault="00061DBD" w:rsidP="008943DD">
      <w:pPr>
        <w:pStyle w:val="ListParagraph"/>
        <w:numPr>
          <w:ilvl w:val="0"/>
          <w:numId w:val="4"/>
        </w:numPr>
        <w:rPr>
          <w:rFonts w:ascii="Times New Roman" w:hAnsi="Times New Roman" w:cs="Times New Roman"/>
        </w:rPr>
      </w:pPr>
      <w:r w:rsidRPr="009F354C">
        <w:rPr>
          <w:rFonts w:ascii="Times New Roman" w:hAnsi="Times New Roman" w:cs="Times New Roman"/>
        </w:rPr>
        <w:t>Velvetleaf</w:t>
      </w:r>
      <w:r w:rsidR="005207A5">
        <w:rPr>
          <w:rFonts w:ascii="Times New Roman" w:hAnsi="Times New Roman" w:cs="Times New Roman"/>
        </w:rPr>
        <w:t xml:space="preserve"> (</w:t>
      </w:r>
      <w:r w:rsidR="005207A5" w:rsidRPr="005207A5">
        <w:rPr>
          <w:rFonts w:ascii="Times New Roman" w:hAnsi="Times New Roman" w:cs="Times New Roman"/>
          <w:i/>
          <w:iCs/>
        </w:rPr>
        <w:t xml:space="preserve">Abutilon </w:t>
      </w:r>
      <w:proofErr w:type="spellStart"/>
      <w:r w:rsidR="005207A5" w:rsidRPr="005207A5">
        <w:rPr>
          <w:rFonts w:ascii="Times New Roman" w:hAnsi="Times New Roman" w:cs="Times New Roman"/>
          <w:i/>
          <w:iCs/>
        </w:rPr>
        <w:t>theophrasti</w:t>
      </w:r>
      <w:proofErr w:type="spellEnd"/>
      <w:r w:rsidR="005207A5">
        <w:rPr>
          <w:rFonts w:ascii="Times New Roman" w:hAnsi="Times New Roman" w:cs="Times New Roman"/>
        </w:rPr>
        <w:t>)</w:t>
      </w:r>
    </w:p>
    <w:p w14:paraId="3F1592C8" w14:textId="1DEEDD31" w:rsidR="005207A5" w:rsidRDefault="00061DBD" w:rsidP="00933C2D">
      <w:pPr>
        <w:pStyle w:val="ListParagraph"/>
        <w:numPr>
          <w:ilvl w:val="0"/>
          <w:numId w:val="4"/>
        </w:numPr>
        <w:rPr>
          <w:rFonts w:ascii="Times New Roman" w:hAnsi="Times New Roman" w:cs="Times New Roman"/>
        </w:rPr>
      </w:pPr>
      <w:proofErr w:type="spellStart"/>
      <w:r w:rsidRPr="005207A5">
        <w:rPr>
          <w:rFonts w:ascii="Times New Roman" w:hAnsi="Times New Roman" w:cs="Times New Roman"/>
        </w:rPr>
        <w:lastRenderedPageBreak/>
        <w:t>Lambsquarters</w:t>
      </w:r>
      <w:proofErr w:type="spellEnd"/>
      <w:r w:rsidR="005207A5">
        <w:rPr>
          <w:rFonts w:ascii="Times New Roman" w:hAnsi="Times New Roman" w:cs="Times New Roman"/>
        </w:rPr>
        <w:t xml:space="preserve"> (</w:t>
      </w:r>
      <w:r w:rsidR="005207A5" w:rsidRPr="005207A5">
        <w:rPr>
          <w:rFonts w:ascii="Times New Roman" w:hAnsi="Times New Roman" w:cs="Times New Roman"/>
          <w:i/>
          <w:iCs/>
        </w:rPr>
        <w:t>Chenopodium album</w:t>
      </w:r>
      <w:r w:rsidR="005207A5">
        <w:rPr>
          <w:rFonts w:ascii="Times New Roman" w:hAnsi="Times New Roman" w:cs="Times New Roman"/>
        </w:rPr>
        <w:t>)</w:t>
      </w:r>
    </w:p>
    <w:p w14:paraId="4267AF3E" w14:textId="767551A1" w:rsidR="005207A5" w:rsidRDefault="00061DBD" w:rsidP="00E73F2C">
      <w:pPr>
        <w:pStyle w:val="ListParagraph"/>
        <w:numPr>
          <w:ilvl w:val="0"/>
          <w:numId w:val="4"/>
        </w:numPr>
        <w:rPr>
          <w:rFonts w:ascii="Times New Roman" w:hAnsi="Times New Roman" w:cs="Times New Roman"/>
        </w:rPr>
      </w:pPr>
      <w:r w:rsidRPr="005207A5">
        <w:rPr>
          <w:rFonts w:ascii="Times New Roman" w:hAnsi="Times New Roman" w:cs="Times New Roman"/>
        </w:rPr>
        <w:t>Large crabgrass</w:t>
      </w:r>
      <w:r w:rsidR="005207A5">
        <w:rPr>
          <w:rFonts w:ascii="Times New Roman" w:hAnsi="Times New Roman" w:cs="Times New Roman"/>
        </w:rPr>
        <w:t xml:space="preserve"> (</w:t>
      </w:r>
      <w:proofErr w:type="spellStart"/>
      <w:r w:rsidR="005207A5">
        <w:rPr>
          <w:rFonts w:ascii="Times New Roman" w:hAnsi="Times New Roman" w:cs="Times New Roman"/>
        </w:rPr>
        <w:t>Digitaria</w:t>
      </w:r>
      <w:proofErr w:type="spellEnd"/>
      <w:r w:rsidR="005207A5">
        <w:rPr>
          <w:rFonts w:ascii="Times New Roman" w:hAnsi="Times New Roman" w:cs="Times New Roman"/>
        </w:rPr>
        <w:t xml:space="preserve"> </w:t>
      </w:r>
      <w:proofErr w:type="spellStart"/>
      <w:r w:rsidR="005207A5">
        <w:rPr>
          <w:rFonts w:ascii="Times New Roman" w:hAnsi="Times New Roman" w:cs="Times New Roman"/>
        </w:rPr>
        <w:t>sanguinalis</w:t>
      </w:r>
      <w:proofErr w:type="spellEnd"/>
      <w:r w:rsidR="005207A5">
        <w:rPr>
          <w:rFonts w:ascii="Times New Roman" w:hAnsi="Times New Roman" w:cs="Times New Roman"/>
        </w:rPr>
        <w:t>)</w:t>
      </w:r>
    </w:p>
    <w:p w14:paraId="603347F0" w14:textId="5EAF33BE" w:rsidR="005207A5" w:rsidRDefault="00061DBD" w:rsidP="00267D6A">
      <w:pPr>
        <w:pStyle w:val="ListParagraph"/>
        <w:numPr>
          <w:ilvl w:val="0"/>
          <w:numId w:val="4"/>
        </w:numPr>
        <w:rPr>
          <w:rFonts w:ascii="Times New Roman" w:hAnsi="Times New Roman" w:cs="Times New Roman"/>
        </w:rPr>
      </w:pPr>
      <w:r w:rsidRPr="005207A5">
        <w:rPr>
          <w:rFonts w:ascii="Times New Roman" w:hAnsi="Times New Roman" w:cs="Times New Roman"/>
        </w:rPr>
        <w:t>Foxtail</w:t>
      </w:r>
      <w:r w:rsidR="005207A5">
        <w:rPr>
          <w:rFonts w:ascii="Times New Roman" w:hAnsi="Times New Roman" w:cs="Times New Roman"/>
        </w:rPr>
        <w:t xml:space="preserve"> (</w:t>
      </w:r>
      <w:proofErr w:type="spellStart"/>
      <w:r w:rsidR="005207A5" w:rsidRPr="005207A5">
        <w:rPr>
          <w:rFonts w:ascii="Times New Roman" w:hAnsi="Times New Roman" w:cs="Times New Roman"/>
          <w:i/>
          <w:iCs/>
        </w:rPr>
        <w:t>Setaria</w:t>
      </w:r>
      <w:proofErr w:type="spellEnd"/>
      <w:r w:rsidR="005207A5" w:rsidRPr="005207A5">
        <w:rPr>
          <w:rFonts w:ascii="Times New Roman" w:hAnsi="Times New Roman" w:cs="Times New Roman"/>
          <w:i/>
          <w:iCs/>
        </w:rPr>
        <w:t xml:space="preserve"> spp</w:t>
      </w:r>
      <w:r w:rsidR="005207A5">
        <w:rPr>
          <w:rFonts w:ascii="Times New Roman" w:hAnsi="Times New Roman" w:cs="Times New Roman"/>
        </w:rPr>
        <w:t>.)</w:t>
      </w:r>
    </w:p>
    <w:p w14:paraId="58609BF5" w14:textId="203513BF" w:rsidR="005207A5" w:rsidRDefault="00061DBD" w:rsidP="00D91D0F">
      <w:pPr>
        <w:pStyle w:val="ListParagraph"/>
        <w:numPr>
          <w:ilvl w:val="0"/>
          <w:numId w:val="4"/>
        </w:numPr>
        <w:rPr>
          <w:rFonts w:ascii="Times New Roman" w:hAnsi="Times New Roman" w:cs="Times New Roman"/>
        </w:rPr>
      </w:pPr>
      <w:r w:rsidRPr="005207A5">
        <w:rPr>
          <w:rFonts w:ascii="Times New Roman" w:hAnsi="Times New Roman" w:cs="Times New Roman"/>
        </w:rPr>
        <w:t>Palmer</w:t>
      </w:r>
      <w:r w:rsidR="005207A5">
        <w:rPr>
          <w:rFonts w:ascii="Times New Roman" w:hAnsi="Times New Roman" w:cs="Times New Roman"/>
        </w:rPr>
        <w:t xml:space="preserve"> amaranth (</w:t>
      </w:r>
      <w:r w:rsidR="005207A5" w:rsidRPr="005207A5">
        <w:rPr>
          <w:rFonts w:ascii="Times New Roman" w:hAnsi="Times New Roman" w:cs="Times New Roman"/>
          <w:i/>
          <w:iCs/>
        </w:rPr>
        <w:t xml:space="preserve">Amaranthus </w:t>
      </w:r>
      <w:proofErr w:type="spellStart"/>
      <w:r w:rsidR="005207A5" w:rsidRPr="005207A5">
        <w:rPr>
          <w:rFonts w:ascii="Times New Roman" w:hAnsi="Times New Roman" w:cs="Times New Roman"/>
          <w:i/>
          <w:iCs/>
        </w:rPr>
        <w:t>palmeri</w:t>
      </w:r>
      <w:proofErr w:type="spellEnd"/>
      <w:r w:rsidR="005207A5">
        <w:rPr>
          <w:rFonts w:ascii="Times New Roman" w:hAnsi="Times New Roman" w:cs="Times New Roman"/>
        </w:rPr>
        <w:t>)</w:t>
      </w:r>
    </w:p>
    <w:p w14:paraId="78234F52" w14:textId="181A227D" w:rsidR="005207A5" w:rsidRDefault="00061DBD" w:rsidP="004F2ECE">
      <w:pPr>
        <w:pStyle w:val="ListParagraph"/>
        <w:numPr>
          <w:ilvl w:val="0"/>
          <w:numId w:val="4"/>
        </w:numPr>
        <w:rPr>
          <w:rFonts w:ascii="Times New Roman" w:hAnsi="Times New Roman" w:cs="Times New Roman"/>
        </w:rPr>
      </w:pPr>
      <w:r w:rsidRPr="005207A5">
        <w:rPr>
          <w:rFonts w:ascii="Times New Roman" w:hAnsi="Times New Roman" w:cs="Times New Roman"/>
        </w:rPr>
        <w:t>bur-cucumber</w:t>
      </w:r>
      <w:r w:rsidR="005207A5">
        <w:rPr>
          <w:rFonts w:ascii="Times New Roman" w:hAnsi="Times New Roman" w:cs="Times New Roman"/>
        </w:rPr>
        <w:t xml:space="preserve"> (</w:t>
      </w:r>
      <w:r w:rsidR="005207A5" w:rsidRPr="005207A5">
        <w:rPr>
          <w:rFonts w:ascii="Times New Roman" w:hAnsi="Times New Roman" w:cs="Times New Roman"/>
          <w:i/>
          <w:iCs/>
        </w:rPr>
        <w:t>Sicyos angulatus</w:t>
      </w:r>
      <w:r w:rsidR="005207A5">
        <w:rPr>
          <w:rFonts w:ascii="Times New Roman" w:hAnsi="Times New Roman" w:cs="Times New Roman"/>
        </w:rPr>
        <w:t>)</w:t>
      </w:r>
    </w:p>
    <w:p w14:paraId="7E4421E2" w14:textId="3627F1A6" w:rsidR="00061DBD" w:rsidRPr="005207A5" w:rsidRDefault="00061DBD" w:rsidP="00550E9B">
      <w:pPr>
        <w:pStyle w:val="ListParagraph"/>
        <w:numPr>
          <w:ilvl w:val="0"/>
          <w:numId w:val="4"/>
        </w:numPr>
        <w:rPr>
          <w:rFonts w:ascii="Times New Roman" w:hAnsi="Times New Roman" w:cs="Times New Roman"/>
        </w:rPr>
      </w:pPr>
      <w:proofErr w:type="spellStart"/>
      <w:r w:rsidRPr="005207A5">
        <w:rPr>
          <w:rFonts w:ascii="Times New Roman" w:hAnsi="Times New Roman" w:cs="Times New Roman"/>
        </w:rPr>
        <w:t>ivyleaf</w:t>
      </w:r>
      <w:proofErr w:type="spellEnd"/>
      <w:r w:rsidRPr="005207A5">
        <w:rPr>
          <w:rFonts w:ascii="Times New Roman" w:hAnsi="Times New Roman" w:cs="Times New Roman"/>
        </w:rPr>
        <w:t xml:space="preserve"> </w:t>
      </w:r>
      <w:proofErr w:type="spellStart"/>
      <w:r w:rsidRPr="005207A5">
        <w:rPr>
          <w:rFonts w:ascii="Times New Roman" w:hAnsi="Times New Roman" w:cs="Times New Roman"/>
        </w:rPr>
        <w:t>morningglory</w:t>
      </w:r>
      <w:proofErr w:type="spellEnd"/>
      <w:r w:rsidR="005207A5" w:rsidRPr="005207A5">
        <w:rPr>
          <w:rFonts w:ascii="Times New Roman" w:hAnsi="Times New Roman" w:cs="Times New Roman"/>
        </w:rPr>
        <w:t xml:space="preserve"> (</w:t>
      </w:r>
      <w:r w:rsidR="005207A5" w:rsidRPr="005207A5">
        <w:rPr>
          <w:rFonts w:ascii="Times New Roman" w:hAnsi="Times New Roman" w:cs="Times New Roman"/>
          <w:i/>
          <w:iCs/>
        </w:rPr>
        <w:t>Ipomoea hederacea</w:t>
      </w:r>
      <w:r w:rsidR="005207A5">
        <w:rPr>
          <w:rFonts w:ascii="Times New Roman" w:hAnsi="Times New Roman" w:cs="Times New Roman"/>
        </w:rPr>
        <w:t>)</w:t>
      </w:r>
    </w:p>
    <w:p w14:paraId="729005DE" w14:textId="77777777" w:rsidR="00BD65B7" w:rsidRPr="00C549E9" w:rsidRDefault="00BD65B7" w:rsidP="00BD65B7">
      <w:pPr>
        <w:rPr>
          <w:rFonts w:ascii="Times New Roman" w:hAnsi="Times New Roman" w:cs="Times New Roman"/>
        </w:rPr>
      </w:pPr>
    </w:p>
    <w:p w14:paraId="56F3AABE" w14:textId="77777777" w:rsidR="00BD65B7" w:rsidRPr="00C549E9" w:rsidRDefault="00BD65B7" w:rsidP="00BD65B7">
      <w:pPr>
        <w:rPr>
          <w:rFonts w:ascii="Times New Roman" w:hAnsi="Times New Roman" w:cs="Times New Roman"/>
        </w:rPr>
      </w:pPr>
    </w:p>
    <w:p w14:paraId="5CEA1EFA" w14:textId="77777777" w:rsidR="00BD65B7" w:rsidRPr="00C549E9" w:rsidRDefault="00BD65B7" w:rsidP="00BD65B7">
      <w:pPr>
        <w:rPr>
          <w:rFonts w:ascii="Times New Roman" w:hAnsi="Times New Roman" w:cs="Times New Roman"/>
        </w:rPr>
      </w:pPr>
      <w:r w:rsidRPr="00C549E9">
        <w:rPr>
          <w:rFonts w:ascii="Times New Roman" w:hAnsi="Times New Roman" w:cs="Times New Roman"/>
          <w:i/>
          <w:iCs/>
        </w:rPr>
        <w:t xml:space="preserve">Control Plots: </w:t>
      </w:r>
      <w:r w:rsidRPr="00C549E9">
        <w:rPr>
          <w:rFonts w:ascii="Times New Roman" w:hAnsi="Times New Roman" w:cs="Times New Roman"/>
        </w:rPr>
        <w:t xml:space="preserve">No OTC present, ambient temperatures. </w:t>
      </w:r>
    </w:p>
    <w:p w14:paraId="1CB34280" w14:textId="77777777" w:rsidR="00BD65B7" w:rsidRPr="00C549E9" w:rsidRDefault="00BD65B7" w:rsidP="00BD65B7">
      <w:pPr>
        <w:rPr>
          <w:rFonts w:ascii="Times New Roman" w:hAnsi="Times New Roman" w:cs="Times New Roman"/>
        </w:rPr>
      </w:pPr>
      <w:r w:rsidRPr="00C549E9">
        <w:rPr>
          <w:rFonts w:ascii="Times New Roman" w:hAnsi="Times New Roman" w:cs="Times New Roman"/>
        </w:rPr>
        <w:tab/>
      </w:r>
    </w:p>
    <w:p w14:paraId="7526D8C2" w14:textId="55B0EE78" w:rsidR="00A42174" w:rsidRDefault="00BD65B7" w:rsidP="00BD65B7">
      <w:pPr>
        <w:pStyle w:val="ListParagraph"/>
        <w:numPr>
          <w:ilvl w:val="0"/>
          <w:numId w:val="1"/>
        </w:numPr>
        <w:ind w:left="360"/>
        <w:rPr>
          <w:rFonts w:ascii="Times New Roman" w:hAnsi="Times New Roman" w:cs="Times New Roman"/>
          <w:sz w:val="24"/>
          <w:szCs w:val="24"/>
        </w:rPr>
      </w:pPr>
      <w:r w:rsidRPr="00C549E9">
        <w:rPr>
          <w:rFonts w:ascii="Times New Roman" w:hAnsi="Times New Roman" w:cs="Times New Roman"/>
          <w:sz w:val="24"/>
          <w:szCs w:val="24"/>
        </w:rPr>
        <w:t xml:space="preserve">Initial fall tillage will occur prior to establishing the experiment and after that soil will remain for the most part untilled, but </w:t>
      </w:r>
      <w:r w:rsidR="005207A5">
        <w:rPr>
          <w:rFonts w:ascii="Times New Roman" w:hAnsi="Times New Roman" w:cs="Times New Roman"/>
          <w:sz w:val="24"/>
          <w:szCs w:val="24"/>
        </w:rPr>
        <w:t xml:space="preserve">in sites where soil </w:t>
      </w:r>
      <w:proofErr w:type="spellStart"/>
      <w:r w:rsidR="005207A5">
        <w:rPr>
          <w:rFonts w:ascii="Times New Roman" w:hAnsi="Times New Roman" w:cs="Times New Roman"/>
          <w:sz w:val="24"/>
          <w:szCs w:val="24"/>
        </w:rPr>
        <w:t>cursting</w:t>
      </w:r>
      <w:proofErr w:type="spellEnd"/>
      <w:r w:rsidR="005207A5">
        <w:rPr>
          <w:rFonts w:ascii="Times New Roman" w:hAnsi="Times New Roman" w:cs="Times New Roman"/>
          <w:sz w:val="24"/>
          <w:szCs w:val="24"/>
        </w:rPr>
        <w:t xml:space="preserve"> occurs </w:t>
      </w:r>
      <w:r w:rsidRPr="00C549E9">
        <w:rPr>
          <w:rFonts w:ascii="Times New Roman" w:hAnsi="Times New Roman" w:cs="Times New Roman"/>
          <w:sz w:val="24"/>
          <w:szCs w:val="24"/>
        </w:rPr>
        <w:t xml:space="preserve">we will use a scuffle hoe to </w:t>
      </w:r>
      <w:r w:rsidR="004E1E62">
        <w:rPr>
          <w:rFonts w:ascii="Times New Roman" w:hAnsi="Times New Roman" w:cs="Times New Roman"/>
          <w:sz w:val="24"/>
          <w:szCs w:val="24"/>
        </w:rPr>
        <w:t xml:space="preserve">break up soil crusting </w:t>
      </w:r>
      <w:r w:rsidR="005207A5">
        <w:rPr>
          <w:rFonts w:ascii="Times New Roman" w:hAnsi="Times New Roman" w:cs="Times New Roman"/>
          <w:sz w:val="24"/>
          <w:szCs w:val="24"/>
        </w:rPr>
        <w:t>as needed.</w:t>
      </w:r>
    </w:p>
    <w:p w14:paraId="1B369D30" w14:textId="2B35C6FC" w:rsidR="00A42174" w:rsidRDefault="005207A5" w:rsidP="00BD65B7">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Researchers will locate plots in</w:t>
      </w:r>
      <w:r w:rsidR="00A42174">
        <w:rPr>
          <w:rFonts w:ascii="Times New Roman" w:hAnsi="Times New Roman" w:cs="Times New Roman"/>
          <w:sz w:val="24"/>
          <w:szCs w:val="24"/>
        </w:rPr>
        <w:t xml:space="preserve"> weedier fields</w:t>
      </w:r>
      <w:r>
        <w:rPr>
          <w:rFonts w:ascii="Times New Roman" w:hAnsi="Times New Roman" w:cs="Times New Roman"/>
          <w:sz w:val="24"/>
          <w:szCs w:val="24"/>
        </w:rPr>
        <w:t>.</w:t>
      </w:r>
    </w:p>
    <w:p w14:paraId="4286D9F9" w14:textId="6434FC2F" w:rsidR="00BD65B7" w:rsidRDefault="005207A5" w:rsidP="00BD65B7">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Plots will be monitored weekly. Emerging seedlings of the 10 most common species, and any of the priority species listed above, will be counted and removed; at the end of the sampling, all seeds will be either clipped and removed or sprayed with herbicide. Sampling will begin before weed emergence in the </w:t>
      </w:r>
      <w:proofErr w:type="gramStart"/>
      <w:r>
        <w:rPr>
          <w:rFonts w:ascii="Times New Roman" w:hAnsi="Times New Roman" w:cs="Times New Roman"/>
          <w:sz w:val="24"/>
          <w:szCs w:val="24"/>
        </w:rPr>
        <w:t>spring, and</w:t>
      </w:r>
      <w:proofErr w:type="gramEnd"/>
      <w:r>
        <w:rPr>
          <w:rFonts w:ascii="Times New Roman" w:hAnsi="Times New Roman" w:cs="Times New Roman"/>
          <w:sz w:val="24"/>
          <w:szCs w:val="24"/>
        </w:rPr>
        <w:t xml:space="preserve"> will continue until none of the target species have emerged for three sampling periods or until the end of October.</w:t>
      </w:r>
    </w:p>
    <w:p w14:paraId="5CC83884" w14:textId="0CD83758" w:rsidR="00A42174" w:rsidRPr="00C549E9" w:rsidRDefault="00A42174" w:rsidP="00BD65B7">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W</w:t>
      </w:r>
      <w:r w:rsidR="005207A5">
        <w:rPr>
          <w:rFonts w:ascii="Times New Roman" w:hAnsi="Times New Roman" w:cs="Times New Roman"/>
          <w:sz w:val="24"/>
          <w:szCs w:val="24"/>
        </w:rPr>
        <w:t>e</w:t>
      </w:r>
      <w:r>
        <w:rPr>
          <w:rFonts w:ascii="Times New Roman" w:hAnsi="Times New Roman" w:cs="Times New Roman"/>
          <w:sz w:val="24"/>
          <w:szCs w:val="24"/>
        </w:rPr>
        <w:t xml:space="preserve"> will use soil temperature and soil moisture sensors attached to data loggers, </w:t>
      </w:r>
      <w:r w:rsidR="00D164A0">
        <w:rPr>
          <w:rFonts w:ascii="Times New Roman" w:hAnsi="Times New Roman" w:cs="Times New Roman"/>
          <w:sz w:val="24"/>
          <w:szCs w:val="24"/>
        </w:rPr>
        <w:t>to quantify</w:t>
      </w:r>
      <w:r>
        <w:rPr>
          <w:rFonts w:ascii="Times New Roman" w:hAnsi="Times New Roman" w:cs="Times New Roman"/>
          <w:sz w:val="24"/>
          <w:szCs w:val="24"/>
        </w:rPr>
        <w:t xml:space="preserve"> the relationship between </w:t>
      </w:r>
      <w:r w:rsidR="00D164A0">
        <w:rPr>
          <w:rFonts w:ascii="Times New Roman" w:hAnsi="Times New Roman" w:cs="Times New Roman"/>
          <w:sz w:val="24"/>
          <w:szCs w:val="24"/>
        </w:rPr>
        <w:t xml:space="preserve">weed seedling emergence and both </w:t>
      </w:r>
      <w:r>
        <w:rPr>
          <w:rFonts w:ascii="Times New Roman" w:hAnsi="Times New Roman" w:cs="Times New Roman"/>
          <w:sz w:val="24"/>
          <w:szCs w:val="24"/>
        </w:rPr>
        <w:t>soil GDD</w:t>
      </w:r>
      <w:r w:rsidR="00D164A0">
        <w:rPr>
          <w:rFonts w:ascii="Times New Roman" w:hAnsi="Times New Roman" w:cs="Times New Roman"/>
          <w:sz w:val="24"/>
          <w:szCs w:val="24"/>
        </w:rPr>
        <w:t xml:space="preserve"> accumulation and </w:t>
      </w:r>
      <w:r>
        <w:rPr>
          <w:rFonts w:ascii="Times New Roman" w:hAnsi="Times New Roman" w:cs="Times New Roman"/>
          <w:sz w:val="24"/>
          <w:szCs w:val="24"/>
        </w:rPr>
        <w:t>soil moisture</w:t>
      </w:r>
      <w:r w:rsidR="00D164A0">
        <w:rPr>
          <w:rFonts w:ascii="Times New Roman" w:hAnsi="Times New Roman" w:cs="Times New Roman"/>
          <w:sz w:val="24"/>
          <w:szCs w:val="24"/>
        </w:rPr>
        <w:t>.</w:t>
      </w:r>
    </w:p>
    <w:p w14:paraId="2345DF51" w14:textId="0CCBDA02" w:rsidR="00BD65B7" w:rsidRDefault="00BD65B7" w:rsidP="001A0CCE"/>
    <w:p w14:paraId="419F1837" w14:textId="2514A102" w:rsidR="00F95B5C" w:rsidRDefault="00D164A0" w:rsidP="001A0CCE">
      <w:r>
        <w:t xml:space="preserve">Data analysis: </w:t>
      </w:r>
      <w:r w:rsidR="00A42174" w:rsidRPr="00A42174">
        <w:t xml:space="preserve">To examine the effect that warming has on relative timing of weed emergence, we will first convert emergence to cumulative emergence (%) based on the total seedling emergence per experimental unit per year (each species will be analyzed separately). Cumulative emergence of each weed species will be modeled using a Weibull function </w:t>
      </w:r>
      <w:r w:rsidR="00EC419C">
        <w:t>(Weibull 1951)</w:t>
      </w:r>
      <w:r w:rsidR="00A42174" w:rsidRPr="00A42174">
        <w:t xml:space="preserve">: Y=M </w:t>
      </w:r>
      <w:r w:rsidR="00A42174" w:rsidRPr="00A42174">
        <w:rPr>
          <w:rFonts w:ascii="Cambria Math" w:hAnsi="Cambria Math" w:cs="Cambria Math"/>
        </w:rPr>
        <w:t>∗</w:t>
      </w:r>
      <w:r w:rsidR="00A42174" w:rsidRPr="00A42174">
        <w:t>{1</w:t>
      </w:r>
      <w:r w:rsidR="00A42174" w:rsidRPr="00A42174">
        <w:rPr>
          <w:rFonts w:ascii="Calibri" w:hAnsi="Calibri" w:cs="Calibri"/>
        </w:rPr>
        <w:t>–</w:t>
      </w:r>
      <w:r w:rsidR="00A42174" w:rsidRPr="00A42174">
        <w:t>exp[</w:t>
      </w:r>
      <w:r w:rsidR="00A42174" w:rsidRPr="00A42174">
        <w:rPr>
          <w:rFonts w:ascii="Calibri" w:hAnsi="Calibri" w:cs="Calibri"/>
        </w:rPr>
        <w:t>–</w:t>
      </w:r>
      <w:r w:rsidR="00A42174" w:rsidRPr="00A42174">
        <w:t>exp(</w:t>
      </w:r>
      <w:proofErr w:type="spellStart"/>
      <w:r w:rsidR="00A42174" w:rsidRPr="00A42174">
        <w:t>lrc</w:t>
      </w:r>
      <w:proofErr w:type="spellEnd"/>
      <w:r w:rsidR="00A42174" w:rsidRPr="00A42174">
        <w:t xml:space="preserve">) </w:t>
      </w:r>
      <w:r w:rsidR="00A42174" w:rsidRPr="00A42174">
        <w:rPr>
          <w:rFonts w:ascii="Cambria Math" w:hAnsi="Cambria Math" w:cs="Cambria Math"/>
        </w:rPr>
        <w:t>∗</w:t>
      </w:r>
      <w:r w:rsidR="00A42174" w:rsidRPr="00A42174">
        <w:t xml:space="preserve"> (GDD</w:t>
      </w:r>
      <w:r w:rsidR="00A42174" w:rsidRPr="00A42174">
        <w:rPr>
          <w:rFonts w:ascii="Calibri" w:hAnsi="Calibri" w:cs="Calibri"/>
        </w:rPr>
        <w:t>–</w:t>
      </w:r>
      <w:r w:rsidR="00A42174" w:rsidRPr="00A42174">
        <w:t xml:space="preserve">z)c]} where Y is cumulative percent emergence, M is the upper horizontal asymptote, </w:t>
      </w:r>
      <w:proofErr w:type="spellStart"/>
      <w:r w:rsidR="00A42174" w:rsidRPr="00A42174">
        <w:t>lrc</w:t>
      </w:r>
      <w:proofErr w:type="spellEnd"/>
      <w:r w:rsidR="00A42174" w:rsidRPr="00A42174">
        <w:t xml:space="preserve"> is the natural log of the rate of increase, GDD is growing degree days and is the predictor variable, z is the time of first emergence, and c is the curve shape parameter [</w:t>
      </w:r>
      <w:proofErr w:type="spellStart"/>
      <w:r w:rsidR="00EC419C">
        <w:t>Werle</w:t>
      </w:r>
      <w:proofErr w:type="spellEnd"/>
      <w:r w:rsidR="00EC419C">
        <w:t xml:space="preserve"> et al 2014b</w:t>
      </w:r>
      <w:r w:rsidR="00A42174" w:rsidRPr="00A42174">
        <w:t xml:space="preserve">, </w:t>
      </w:r>
      <w:proofErr w:type="spellStart"/>
      <w:r w:rsidR="00EC419C">
        <w:t>Goplen</w:t>
      </w:r>
      <w:proofErr w:type="spellEnd"/>
      <w:r w:rsidR="00EC419C">
        <w:t xml:space="preserve"> et al 2018)</w:t>
      </w:r>
      <w:r w:rsidR="00A42174" w:rsidRPr="00A42174">
        <w:t>. We will use the model to extract time to 25%, 50%, and 75% emergence, and then examine whether the fixed effects of climate manipulation treatments affect the relative timing of emergence with block nested in year and site as random factors.</w:t>
      </w:r>
    </w:p>
    <w:p w14:paraId="11F9D208" w14:textId="484119CF" w:rsidR="00BD65B7" w:rsidRDefault="00BD65B7" w:rsidP="00BD65B7">
      <w:pPr>
        <w:pStyle w:val="Heading1"/>
        <w:spacing w:before="161" w:beforeAutospacing="0" w:after="161" w:afterAutospacing="0"/>
        <w:rPr>
          <w:rFonts w:ascii="Arial" w:eastAsia="Times New Roman" w:hAnsi="Arial" w:cs="Arial"/>
          <w:b w:val="0"/>
          <w:bCs w:val="0"/>
          <w:color w:val="4B4441"/>
        </w:rPr>
      </w:pPr>
      <w:r w:rsidRPr="000D5722">
        <w:rPr>
          <w:rFonts w:ascii="Arial" w:eastAsia="Times New Roman" w:hAnsi="Arial" w:cs="Arial"/>
          <w:b w:val="0"/>
          <w:bCs w:val="0"/>
          <w:color w:val="4B4441"/>
        </w:rPr>
        <w:t>Measurement of Progress and Results</w:t>
      </w:r>
    </w:p>
    <w:p w14:paraId="0F7341B1" w14:textId="0688AD81" w:rsidR="007E001D" w:rsidRPr="007E001D" w:rsidRDefault="007E001D" w:rsidP="007E001D">
      <w:pPr>
        <w:shd w:val="clear" w:color="auto" w:fill="FFFFFF"/>
        <w:spacing w:before="240" w:after="240" w:line="240" w:lineRule="auto"/>
        <w:rPr>
          <w:rFonts w:ascii="Open Sans" w:eastAsia="Times New Roman" w:hAnsi="Open Sans" w:cs="Open Sans"/>
          <w:color w:val="808080" w:themeColor="background1" w:themeShade="80"/>
          <w:sz w:val="18"/>
          <w:szCs w:val="18"/>
        </w:rPr>
      </w:pPr>
      <w:r w:rsidRPr="007E001D">
        <w:rPr>
          <w:rFonts w:ascii="Open Sans" w:eastAsia="Times New Roman" w:hAnsi="Open Sans" w:cs="Open Sans"/>
          <w:color w:val="808080" w:themeColor="background1" w:themeShade="80"/>
          <w:sz w:val="18"/>
          <w:szCs w:val="18"/>
        </w:rPr>
        <w:t>This section has three purposes. It is intended to show what the products of the research will be, how these products will affect the stakeholder or end user, and what critical points of achievement are needed for progress toward meeting objectives. To do this you should address the following items:</w:t>
      </w:r>
      <w:r>
        <w:rPr>
          <w:rFonts w:ascii="Open Sans" w:eastAsia="Times New Roman" w:hAnsi="Open Sans" w:cs="Open Sans"/>
          <w:color w:val="808080" w:themeColor="background1" w:themeShade="80"/>
          <w:sz w:val="18"/>
          <w:szCs w:val="18"/>
        </w:rPr>
        <w:t xml:space="preserve"> outputs, outcomes or projected impacts, milestones.</w:t>
      </w:r>
    </w:p>
    <w:p w14:paraId="0487F684" w14:textId="77777777" w:rsidR="007E001D" w:rsidRPr="000D5722" w:rsidRDefault="007E001D" w:rsidP="00BD65B7">
      <w:pPr>
        <w:pStyle w:val="Heading1"/>
        <w:spacing w:before="161" w:beforeAutospacing="0" w:after="161" w:afterAutospacing="0"/>
        <w:rPr>
          <w:rFonts w:ascii="Arial" w:eastAsia="Times New Roman" w:hAnsi="Arial" w:cs="Arial"/>
          <w:b w:val="0"/>
          <w:bCs w:val="0"/>
          <w:color w:val="4B4441"/>
        </w:rPr>
      </w:pPr>
    </w:p>
    <w:p w14:paraId="14B71393" w14:textId="77777777" w:rsidR="007E001D" w:rsidRDefault="007E001D" w:rsidP="007E001D">
      <w:pPr>
        <w:pStyle w:val="Heading1"/>
        <w:shd w:val="clear" w:color="auto" w:fill="FFFFFF"/>
        <w:spacing w:before="161" w:beforeAutospacing="0" w:after="0" w:afterAutospacing="0"/>
        <w:rPr>
          <w:rFonts w:ascii="Open Sans" w:hAnsi="Open Sans" w:cs="Open Sans"/>
          <w:b w:val="0"/>
          <w:bCs w:val="0"/>
          <w:color w:val="4B4441"/>
        </w:rPr>
      </w:pPr>
      <w:r>
        <w:rPr>
          <w:rFonts w:ascii="Open Sans" w:hAnsi="Open Sans" w:cs="Open Sans"/>
          <w:b w:val="0"/>
          <w:bCs w:val="0"/>
          <w:color w:val="4B4441"/>
        </w:rPr>
        <w:t>Outputs</w:t>
      </w:r>
    </w:p>
    <w:p w14:paraId="4E76A254" w14:textId="77777777" w:rsidR="007E001D" w:rsidRPr="007E001D" w:rsidRDefault="007E001D" w:rsidP="007E001D">
      <w:pPr>
        <w:pStyle w:val="NormalWeb"/>
        <w:shd w:val="clear" w:color="auto" w:fill="FFFFFF"/>
        <w:spacing w:before="240" w:after="240"/>
        <w:rPr>
          <w:rFonts w:ascii="Open Sans" w:hAnsi="Open Sans" w:cs="Open Sans"/>
          <w:color w:val="808080" w:themeColor="background1" w:themeShade="80"/>
          <w:sz w:val="18"/>
          <w:szCs w:val="18"/>
        </w:rPr>
      </w:pPr>
      <w:r w:rsidRPr="007E001D">
        <w:rPr>
          <w:rFonts w:ascii="Open Sans" w:hAnsi="Open Sans" w:cs="Open Sans"/>
          <w:color w:val="808080" w:themeColor="background1" w:themeShade="80"/>
          <w:sz w:val="18"/>
          <w:szCs w:val="18"/>
        </w:rPr>
        <w:t>The results of research activities, such as data, information, biological or physical materials and observations. The output from a plant-breeding program might be a named variety. The output from a survey might be the analyzed survey results. Max characters = 4000.</w:t>
      </w:r>
    </w:p>
    <w:p w14:paraId="39244EAC" w14:textId="18D36367" w:rsidR="009900D0" w:rsidRPr="00C502EA" w:rsidRDefault="009900D0" w:rsidP="009900D0">
      <w:pPr>
        <w:pStyle w:val="Heading4"/>
        <w:spacing w:before="319" w:after="319"/>
        <w:rPr>
          <w:b/>
        </w:rPr>
      </w:pPr>
      <w:r w:rsidRPr="00C502EA">
        <w:t>The outputs of this project will fall into two categories: field research</w:t>
      </w:r>
      <w:r w:rsidR="007E001D">
        <w:t>, publication, and</w:t>
      </w:r>
      <w:r w:rsidRPr="00C502EA">
        <w:t xml:space="preserve"> </w:t>
      </w:r>
      <w:r w:rsidR="007E001D">
        <w:t>extension</w:t>
      </w:r>
      <w:r w:rsidRPr="00C502EA">
        <w:t xml:space="preserve"> outputs. Our field research will pro</w:t>
      </w:r>
      <w:r>
        <w:t>vide</w:t>
      </w:r>
      <w:r w:rsidRPr="00C502EA">
        <w:t xml:space="preserve"> three years of emergence data from </w:t>
      </w:r>
      <w:r>
        <w:rPr>
          <w:b/>
        </w:rPr>
        <w:t xml:space="preserve">four to five Northeastern </w:t>
      </w:r>
      <w:r w:rsidRPr="00C502EA">
        <w:t xml:space="preserve">states on annual </w:t>
      </w:r>
      <w:r>
        <w:t xml:space="preserve">weed </w:t>
      </w:r>
      <w:r w:rsidRPr="00C502EA">
        <w:t>specie</w:t>
      </w:r>
      <w:r>
        <w:t>s</w:t>
      </w:r>
      <w:r>
        <w:rPr>
          <w:b/>
        </w:rPr>
        <w:t xml:space="preserve"> under ambient and elevated temperature conditions</w:t>
      </w:r>
      <w:r w:rsidRPr="00C502EA">
        <w:t xml:space="preserve">. </w:t>
      </w:r>
      <w:r>
        <w:rPr>
          <w:b/>
        </w:rPr>
        <w:t xml:space="preserve">This work will be published in peer-reviewed </w:t>
      </w:r>
      <w:proofErr w:type="gramStart"/>
      <w:r>
        <w:rPr>
          <w:b/>
        </w:rPr>
        <w:t>literature, and</w:t>
      </w:r>
      <w:proofErr w:type="gramEnd"/>
      <w:r>
        <w:rPr>
          <w:b/>
        </w:rPr>
        <w:t xml:space="preserve"> extended to Northeastern farmers through extension activities</w:t>
      </w:r>
      <w:r>
        <w:t>.</w:t>
      </w:r>
    </w:p>
    <w:p w14:paraId="56DA682B" w14:textId="77777777" w:rsidR="007E001D" w:rsidRDefault="007E001D" w:rsidP="007E001D">
      <w:pPr>
        <w:pStyle w:val="Heading1"/>
        <w:shd w:val="clear" w:color="auto" w:fill="FFFFFF"/>
        <w:spacing w:before="161" w:beforeAutospacing="0" w:after="0" w:afterAutospacing="0"/>
        <w:rPr>
          <w:rFonts w:ascii="Open Sans" w:hAnsi="Open Sans" w:cs="Open Sans"/>
          <w:b w:val="0"/>
          <w:bCs w:val="0"/>
          <w:color w:val="4B4441"/>
        </w:rPr>
      </w:pPr>
      <w:r>
        <w:rPr>
          <w:rFonts w:ascii="Open Sans" w:hAnsi="Open Sans" w:cs="Open Sans"/>
          <w:b w:val="0"/>
          <w:bCs w:val="0"/>
          <w:color w:val="4B4441"/>
        </w:rPr>
        <w:t>Outcomes or Projected Impacts</w:t>
      </w:r>
    </w:p>
    <w:p w14:paraId="0EFE7B49" w14:textId="4C9C8B70" w:rsidR="007E001D" w:rsidRPr="007E001D" w:rsidRDefault="007E001D" w:rsidP="007E001D">
      <w:pPr>
        <w:rPr>
          <w:color w:val="808080" w:themeColor="background1" w:themeShade="80"/>
        </w:rPr>
      </w:pPr>
      <w:r w:rsidRPr="007E001D">
        <w:rPr>
          <w:rFonts w:ascii="Open Sans" w:hAnsi="Open Sans" w:cs="Open Sans"/>
          <w:color w:val="808080" w:themeColor="background1" w:themeShade="80"/>
          <w:sz w:val="18"/>
          <w:szCs w:val="18"/>
          <w:shd w:val="clear" w:color="auto" w:fill="FFFFFF"/>
        </w:rPr>
        <w:t>Outcomes describe the significance of the results, showing in what ways the end user will benefit. For example, an outcome from the adoption of a new cultivar might be increased regional production, or greater profitability. Impacts are the economic, social, health, or environmental benefits derived by the intended users. These are usually quantitatively measured either directly or indirectly as indicators of benefits. An example of an impact would be improved human nutrition to so many individuals through genetically engineering rice to contain the precursors to vitamin A. Max characters = 4000.</w:t>
      </w:r>
    </w:p>
    <w:p w14:paraId="0E9FDADB" w14:textId="347E210D" w:rsidR="009900D0" w:rsidRPr="00C502EA" w:rsidRDefault="000C6245" w:rsidP="009900D0">
      <w:pPr>
        <w:pStyle w:val="NormalWeb"/>
        <w:spacing w:before="240" w:after="240"/>
        <w:rPr>
          <w:color w:val="000000"/>
        </w:rPr>
      </w:pPr>
      <w:r>
        <w:rPr>
          <w:color w:val="000000"/>
        </w:rPr>
        <w:t>This project will help maintain</w:t>
      </w:r>
      <w:r w:rsidR="009900D0" w:rsidRPr="00C502EA">
        <w:rPr>
          <w:color w:val="000000"/>
        </w:rPr>
        <w:t xml:space="preserve"> weed control </w:t>
      </w:r>
      <w:r w:rsidR="009900D0">
        <w:rPr>
          <w:color w:val="000000"/>
        </w:rPr>
        <w:t xml:space="preserve">efficacy in the face of </w:t>
      </w:r>
      <w:r w:rsidR="009A2ADB">
        <w:rPr>
          <w:color w:val="000000"/>
        </w:rPr>
        <w:t>climate change</w:t>
      </w:r>
      <w:r w:rsidR="009900D0">
        <w:rPr>
          <w:color w:val="000000"/>
        </w:rPr>
        <w:t xml:space="preserve">. </w:t>
      </w:r>
      <w:r w:rsidR="009A2ADB">
        <w:rPr>
          <w:color w:val="000000"/>
        </w:rPr>
        <w:t xml:space="preserve">We anticipate that </w:t>
      </w:r>
      <w:r w:rsidR="00356B67">
        <w:rPr>
          <w:color w:val="000000"/>
        </w:rPr>
        <w:t xml:space="preserve">extension educators will use information derived from our research to communicate scientifically sound weed management practices to farmers across the Northeast. </w:t>
      </w:r>
      <w:r>
        <w:rPr>
          <w:color w:val="000000"/>
        </w:rPr>
        <w:t>F</w:t>
      </w:r>
      <w:r w:rsidR="009900D0" w:rsidRPr="00C502EA">
        <w:rPr>
          <w:color w:val="000000"/>
        </w:rPr>
        <w:t xml:space="preserve">armers will use the </w:t>
      </w:r>
      <w:r w:rsidR="009900D0">
        <w:rPr>
          <w:color w:val="000000"/>
        </w:rPr>
        <w:t xml:space="preserve">information to </w:t>
      </w:r>
      <w:r w:rsidR="0062420F">
        <w:rPr>
          <w:color w:val="000000"/>
        </w:rPr>
        <w:t xml:space="preserve">optimize their weed management programs and </w:t>
      </w:r>
      <w:r w:rsidR="00356B67">
        <w:rPr>
          <w:color w:val="000000"/>
        </w:rPr>
        <w:t>proactively address</w:t>
      </w:r>
      <w:r w:rsidR="00EF5C8F">
        <w:rPr>
          <w:color w:val="000000"/>
        </w:rPr>
        <w:t xml:space="preserve"> </w:t>
      </w:r>
      <w:r w:rsidR="009900D0">
        <w:rPr>
          <w:color w:val="000000"/>
        </w:rPr>
        <w:t>changes in weed emergence</w:t>
      </w:r>
      <w:r w:rsidR="00EF5C8F">
        <w:rPr>
          <w:color w:val="000000"/>
        </w:rPr>
        <w:t xml:space="preserve"> patterns</w:t>
      </w:r>
      <w:r w:rsidR="009900D0" w:rsidRPr="00C502EA">
        <w:rPr>
          <w:color w:val="000000"/>
        </w:rPr>
        <w:t xml:space="preserve">. </w:t>
      </w:r>
    </w:p>
    <w:p w14:paraId="259BC7E5" w14:textId="131F7FD8" w:rsidR="000F4860" w:rsidRDefault="000F4860" w:rsidP="009900D0">
      <w:pPr>
        <w:pStyle w:val="NormalWeb"/>
        <w:spacing w:before="240" w:after="240"/>
        <w:rPr>
          <w:color w:val="000000"/>
        </w:rPr>
      </w:pPr>
      <w:r>
        <w:rPr>
          <w:color w:val="000000"/>
        </w:rPr>
        <w:br w:type="page"/>
      </w:r>
    </w:p>
    <w:p w14:paraId="3A784D26" w14:textId="77777777" w:rsidR="009900D0" w:rsidRPr="00C502EA" w:rsidRDefault="009900D0" w:rsidP="009900D0">
      <w:pPr>
        <w:pStyle w:val="NormalWeb"/>
        <w:spacing w:before="240" w:after="240"/>
        <w:rPr>
          <w:color w:val="000000"/>
        </w:rPr>
      </w:pPr>
    </w:p>
    <w:p w14:paraId="645068D7" w14:textId="77777777" w:rsidR="009900D0" w:rsidRPr="000D5722" w:rsidRDefault="009900D0" w:rsidP="009900D0">
      <w:pPr>
        <w:pStyle w:val="Heading4"/>
        <w:spacing w:before="319" w:after="319"/>
        <w:rPr>
          <w:rFonts w:eastAsia="Times New Roman"/>
          <w:bCs/>
        </w:rPr>
      </w:pPr>
      <w:r w:rsidRPr="000D5722">
        <w:rPr>
          <w:rFonts w:eastAsia="Times New Roman"/>
        </w:rPr>
        <w:t>Milestones</w:t>
      </w:r>
    </w:p>
    <w:tbl>
      <w:tblPr>
        <w:tblW w:w="10165" w:type="dxa"/>
        <w:tblLook w:val="04A0" w:firstRow="1" w:lastRow="0" w:firstColumn="1" w:lastColumn="0" w:noHBand="0" w:noVBand="1"/>
      </w:tblPr>
      <w:tblGrid>
        <w:gridCol w:w="2155"/>
        <w:gridCol w:w="1217"/>
        <w:gridCol w:w="369"/>
        <w:gridCol w:w="484"/>
        <w:gridCol w:w="493"/>
        <w:gridCol w:w="659"/>
        <w:gridCol w:w="491"/>
        <w:gridCol w:w="500"/>
        <w:gridCol w:w="493"/>
        <w:gridCol w:w="659"/>
        <w:gridCol w:w="491"/>
        <w:gridCol w:w="500"/>
        <w:gridCol w:w="493"/>
        <w:gridCol w:w="659"/>
        <w:gridCol w:w="502"/>
      </w:tblGrid>
      <w:tr w:rsidR="00456F4A" w:rsidRPr="00456F4A" w14:paraId="6C26BDA3" w14:textId="77777777" w:rsidTr="007E001D">
        <w:trPr>
          <w:trHeight w:val="660"/>
        </w:trPr>
        <w:tc>
          <w:tcPr>
            <w:tcW w:w="2155" w:type="dxa"/>
            <w:tcBorders>
              <w:top w:val="single" w:sz="4" w:space="0" w:color="auto"/>
              <w:left w:val="single" w:sz="4" w:space="0" w:color="auto"/>
              <w:bottom w:val="nil"/>
              <w:right w:val="nil"/>
            </w:tcBorders>
            <w:shd w:val="clear" w:color="auto" w:fill="auto"/>
            <w:noWrap/>
            <w:vAlign w:val="center"/>
            <w:hideMark/>
          </w:tcPr>
          <w:p w14:paraId="20AB06AE" w14:textId="77777777" w:rsidR="00456F4A" w:rsidRPr="00456F4A" w:rsidRDefault="00456F4A" w:rsidP="00456F4A">
            <w:pPr>
              <w:spacing w:after="0" w:line="240" w:lineRule="auto"/>
              <w:jc w:val="center"/>
              <w:rPr>
                <w:rFonts w:ascii="Calibri" w:eastAsia="Times New Roman" w:hAnsi="Calibri" w:cs="Calibri"/>
                <w:b/>
                <w:bCs/>
                <w:color w:val="595959"/>
              </w:rPr>
            </w:pPr>
            <w:bookmarkStart w:id="0" w:name="RANGE!B2:B4"/>
            <w:r w:rsidRPr="00456F4A">
              <w:rPr>
                <w:rFonts w:ascii="Calibri" w:eastAsia="Times New Roman" w:hAnsi="Calibri" w:cs="Calibri"/>
                <w:b/>
                <w:bCs/>
                <w:color w:val="595959"/>
              </w:rPr>
              <w:t>ACTIVITY</w:t>
            </w:r>
            <w:bookmarkEnd w:id="0"/>
          </w:p>
        </w:tc>
        <w:tc>
          <w:tcPr>
            <w:tcW w:w="1217" w:type="dxa"/>
            <w:tcBorders>
              <w:top w:val="single" w:sz="4" w:space="0" w:color="auto"/>
              <w:left w:val="nil"/>
              <w:bottom w:val="nil"/>
              <w:right w:val="nil"/>
            </w:tcBorders>
            <w:shd w:val="clear" w:color="auto" w:fill="auto"/>
            <w:vAlign w:val="center"/>
            <w:hideMark/>
          </w:tcPr>
          <w:p w14:paraId="213968DD"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PLAN DURATION</w:t>
            </w:r>
          </w:p>
        </w:tc>
        <w:tc>
          <w:tcPr>
            <w:tcW w:w="853" w:type="dxa"/>
            <w:gridSpan w:val="2"/>
            <w:tcBorders>
              <w:top w:val="single" w:sz="4" w:space="0" w:color="auto"/>
              <w:left w:val="nil"/>
              <w:bottom w:val="nil"/>
              <w:right w:val="single" w:sz="4" w:space="0" w:color="000000"/>
            </w:tcBorders>
            <w:shd w:val="clear" w:color="auto" w:fill="auto"/>
            <w:noWrap/>
            <w:vAlign w:val="bottom"/>
            <w:hideMark/>
          </w:tcPr>
          <w:p w14:paraId="3278B93B" w14:textId="77777777" w:rsidR="00456F4A" w:rsidRPr="00456F4A" w:rsidRDefault="00456F4A" w:rsidP="00456F4A">
            <w:pPr>
              <w:spacing w:after="0" w:line="240" w:lineRule="auto"/>
              <w:rPr>
                <w:rFonts w:ascii="Calibri" w:eastAsia="Times New Roman" w:hAnsi="Calibri" w:cs="Calibri"/>
                <w:b/>
                <w:bCs/>
                <w:color w:val="595959"/>
              </w:rPr>
            </w:pPr>
            <w:r w:rsidRPr="00456F4A">
              <w:rPr>
                <w:rFonts w:ascii="Calibri" w:eastAsia="Times New Roman" w:hAnsi="Calibri" w:cs="Calibri"/>
                <w:b/>
                <w:bCs/>
                <w:color w:val="595959"/>
              </w:rPr>
              <w:t>Year 1</w:t>
            </w:r>
          </w:p>
        </w:tc>
        <w:tc>
          <w:tcPr>
            <w:tcW w:w="493" w:type="dxa"/>
            <w:tcBorders>
              <w:top w:val="single" w:sz="4" w:space="0" w:color="auto"/>
              <w:left w:val="nil"/>
              <w:bottom w:val="nil"/>
              <w:right w:val="nil"/>
            </w:tcBorders>
            <w:shd w:val="clear" w:color="auto" w:fill="auto"/>
            <w:vAlign w:val="center"/>
            <w:hideMark/>
          </w:tcPr>
          <w:p w14:paraId="5C66E932"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 </w:t>
            </w:r>
          </w:p>
        </w:tc>
        <w:tc>
          <w:tcPr>
            <w:tcW w:w="659" w:type="dxa"/>
            <w:tcBorders>
              <w:top w:val="single" w:sz="4" w:space="0" w:color="auto"/>
              <w:left w:val="nil"/>
              <w:bottom w:val="nil"/>
              <w:right w:val="nil"/>
            </w:tcBorders>
            <w:shd w:val="clear" w:color="auto" w:fill="auto"/>
            <w:noWrap/>
            <w:vAlign w:val="bottom"/>
            <w:hideMark/>
          </w:tcPr>
          <w:p w14:paraId="730CF80E"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Year 2</w:t>
            </w:r>
          </w:p>
        </w:tc>
        <w:tc>
          <w:tcPr>
            <w:tcW w:w="491" w:type="dxa"/>
            <w:tcBorders>
              <w:top w:val="single" w:sz="4" w:space="0" w:color="auto"/>
              <w:left w:val="nil"/>
              <w:bottom w:val="nil"/>
              <w:right w:val="nil"/>
            </w:tcBorders>
            <w:shd w:val="clear" w:color="auto" w:fill="auto"/>
            <w:noWrap/>
            <w:vAlign w:val="bottom"/>
            <w:hideMark/>
          </w:tcPr>
          <w:p w14:paraId="53952992"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 </w:t>
            </w:r>
          </w:p>
        </w:tc>
        <w:tc>
          <w:tcPr>
            <w:tcW w:w="500" w:type="dxa"/>
            <w:tcBorders>
              <w:top w:val="single" w:sz="4" w:space="0" w:color="auto"/>
              <w:left w:val="nil"/>
              <w:bottom w:val="nil"/>
              <w:right w:val="single" w:sz="4" w:space="0" w:color="auto"/>
            </w:tcBorders>
            <w:shd w:val="clear" w:color="auto" w:fill="auto"/>
            <w:noWrap/>
            <w:vAlign w:val="bottom"/>
            <w:hideMark/>
          </w:tcPr>
          <w:p w14:paraId="1C68A2E1"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 </w:t>
            </w:r>
          </w:p>
        </w:tc>
        <w:tc>
          <w:tcPr>
            <w:tcW w:w="493" w:type="dxa"/>
            <w:tcBorders>
              <w:top w:val="single" w:sz="4" w:space="0" w:color="auto"/>
              <w:left w:val="nil"/>
              <w:bottom w:val="nil"/>
              <w:right w:val="nil"/>
            </w:tcBorders>
            <w:shd w:val="clear" w:color="auto" w:fill="auto"/>
            <w:vAlign w:val="center"/>
            <w:hideMark/>
          </w:tcPr>
          <w:p w14:paraId="753D473C"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 </w:t>
            </w:r>
          </w:p>
        </w:tc>
        <w:tc>
          <w:tcPr>
            <w:tcW w:w="659" w:type="dxa"/>
            <w:tcBorders>
              <w:top w:val="single" w:sz="4" w:space="0" w:color="auto"/>
              <w:left w:val="nil"/>
              <w:bottom w:val="nil"/>
              <w:right w:val="nil"/>
            </w:tcBorders>
            <w:shd w:val="clear" w:color="auto" w:fill="auto"/>
            <w:noWrap/>
            <w:vAlign w:val="bottom"/>
            <w:hideMark/>
          </w:tcPr>
          <w:p w14:paraId="4AE2BD29"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Year 3</w:t>
            </w:r>
          </w:p>
        </w:tc>
        <w:tc>
          <w:tcPr>
            <w:tcW w:w="491" w:type="dxa"/>
            <w:tcBorders>
              <w:top w:val="single" w:sz="4" w:space="0" w:color="auto"/>
              <w:left w:val="nil"/>
              <w:bottom w:val="nil"/>
              <w:right w:val="nil"/>
            </w:tcBorders>
            <w:shd w:val="clear" w:color="auto" w:fill="auto"/>
            <w:noWrap/>
            <w:vAlign w:val="bottom"/>
            <w:hideMark/>
          </w:tcPr>
          <w:p w14:paraId="777FAB2D"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 </w:t>
            </w:r>
          </w:p>
        </w:tc>
        <w:tc>
          <w:tcPr>
            <w:tcW w:w="500" w:type="dxa"/>
            <w:tcBorders>
              <w:top w:val="single" w:sz="4" w:space="0" w:color="auto"/>
              <w:left w:val="nil"/>
              <w:bottom w:val="nil"/>
              <w:right w:val="single" w:sz="4" w:space="0" w:color="auto"/>
            </w:tcBorders>
            <w:shd w:val="clear" w:color="auto" w:fill="auto"/>
            <w:noWrap/>
            <w:vAlign w:val="bottom"/>
            <w:hideMark/>
          </w:tcPr>
          <w:p w14:paraId="77D6E304"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 </w:t>
            </w:r>
          </w:p>
        </w:tc>
        <w:tc>
          <w:tcPr>
            <w:tcW w:w="493" w:type="dxa"/>
            <w:tcBorders>
              <w:top w:val="single" w:sz="4" w:space="0" w:color="auto"/>
              <w:left w:val="nil"/>
              <w:bottom w:val="nil"/>
              <w:right w:val="nil"/>
            </w:tcBorders>
            <w:shd w:val="clear" w:color="auto" w:fill="auto"/>
            <w:vAlign w:val="center"/>
            <w:hideMark/>
          </w:tcPr>
          <w:p w14:paraId="09D01275"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 </w:t>
            </w:r>
          </w:p>
        </w:tc>
        <w:tc>
          <w:tcPr>
            <w:tcW w:w="659" w:type="dxa"/>
            <w:tcBorders>
              <w:top w:val="single" w:sz="4" w:space="0" w:color="auto"/>
              <w:left w:val="nil"/>
              <w:bottom w:val="nil"/>
              <w:right w:val="nil"/>
            </w:tcBorders>
            <w:shd w:val="clear" w:color="auto" w:fill="auto"/>
            <w:noWrap/>
            <w:vAlign w:val="bottom"/>
            <w:hideMark/>
          </w:tcPr>
          <w:p w14:paraId="0E60CBAD"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Year 4</w:t>
            </w:r>
          </w:p>
        </w:tc>
        <w:tc>
          <w:tcPr>
            <w:tcW w:w="502" w:type="dxa"/>
            <w:tcBorders>
              <w:top w:val="single" w:sz="4" w:space="0" w:color="auto"/>
              <w:left w:val="nil"/>
              <w:bottom w:val="nil"/>
              <w:right w:val="single" w:sz="4" w:space="0" w:color="auto"/>
            </w:tcBorders>
            <w:shd w:val="clear" w:color="auto" w:fill="auto"/>
            <w:vAlign w:val="bottom"/>
            <w:hideMark/>
          </w:tcPr>
          <w:p w14:paraId="32727607"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 </w:t>
            </w:r>
          </w:p>
        </w:tc>
      </w:tr>
      <w:tr w:rsidR="00456F4A" w:rsidRPr="00456F4A" w14:paraId="1AAABB67" w14:textId="77777777" w:rsidTr="007E001D">
        <w:trPr>
          <w:trHeight w:val="330"/>
        </w:trPr>
        <w:tc>
          <w:tcPr>
            <w:tcW w:w="2155" w:type="dxa"/>
            <w:tcBorders>
              <w:top w:val="nil"/>
              <w:left w:val="single" w:sz="4" w:space="0" w:color="auto"/>
              <w:bottom w:val="nil"/>
              <w:right w:val="nil"/>
            </w:tcBorders>
            <w:shd w:val="clear" w:color="auto" w:fill="auto"/>
            <w:vAlign w:val="center"/>
            <w:hideMark/>
          </w:tcPr>
          <w:p w14:paraId="254600EA"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 </w:t>
            </w:r>
          </w:p>
        </w:tc>
        <w:tc>
          <w:tcPr>
            <w:tcW w:w="1217" w:type="dxa"/>
            <w:tcBorders>
              <w:top w:val="nil"/>
              <w:left w:val="nil"/>
              <w:bottom w:val="nil"/>
              <w:right w:val="nil"/>
            </w:tcBorders>
            <w:shd w:val="clear" w:color="auto" w:fill="auto"/>
            <w:vAlign w:val="center"/>
            <w:hideMark/>
          </w:tcPr>
          <w:p w14:paraId="084D6F45"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369" w:type="dxa"/>
            <w:tcBorders>
              <w:top w:val="nil"/>
              <w:left w:val="nil"/>
              <w:bottom w:val="nil"/>
              <w:right w:val="nil"/>
            </w:tcBorders>
            <w:shd w:val="clear" w:color="auto" w:fill="auto"/>
            <w:noWrap/>
            <w:vAlign w:val="bottom"/>
            <w:hideMark/>
          </w:tcPr>
          <w:p w14:paraId="1DB25980"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84" w:type="dxa"/>
            <w:tcBorders>
              <w:top w:val="nil"/>
              <w:left w:val="nil"/>
              <w:bottom w:val="nil"/>
              <w:right w:val="single" w:sz="4" w:space="0" w:color="auto"/>
            </w:tcBorders>
            <w:shd w:val="clear" w:color="auto" w:fill="auto"/>
            <w:vAlign w:val="bottom"/>
            <w:hideMark/>
          </w:tcPr>
          <w:p w14:paraId="5E203626"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Q4</w:t>
            </w:r>
          </w:p>
        </w:tc>
        <w:tc>
          <w:tcPr>
            <w:tcW w:w="493" w:type="dxa"/>
            <w:tcBorders>
              <w:top w:val="nil"/>
              <w:left w:val="nil"/>
              <w:bottom w:val="nil"/>
              <w:right w:val="nil"/>
            </w:tcBorders>
            <w:shd w:val="clear" w:color="auto" w:fill="auto"/>
            <w:vAlign w:val="bottom"/>
            <w:hideMark/>
          </w:tcPr>
          <w:p w14:paraId="14CA47EB"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Q1</w:t>
            </w:r>
          </w:p>
        </w:tc>
        <w:tc>
          <w:tcPr>
            <w:tcW w:w="659" w:type="dxa"/>
            <w:tcBorders>
              <w:top w:val="nil"/>
              <w:left w:val="nil"/>
              <w:bottom w:val="nil"/>
              <w:right w:val="nil"/>
            </w:tcBorders>
            <w:shd w:val="clear" w:color="auto" w:fill="auto"/>
            <w:vAlign w:val="bottom"/>
            <w:hideMark/>
          </w:tcPr>
          <w:p w14:paraId="2F35BC5E"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Q2</w:t>
            </w:r>
          </w:p>
        </w:tc>
        <w:tc>
          <w:tcPr>
            <w:tcW w:w="491" w:type="dxa"/>
            <w:tcBorders>
              <w:top w:val="nil"/>
              <w:left w:val="nil"/>
              <w:bottom w:val="nil"/>
              <w:right w:val="nil"/>
            </w:tcBorders>
            <w:shd w:val="clear" w:color="auto" w:fill="auto"/>
            <w:vAlign w:val="bottom"/>
            <w:hideMark/>
          </w:tcPr>
          <w:p w14:paraId="3B882C41"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Q3</w:t>
            </w:r>
          </w:p>
        </w:tc>
        <w:tc>
          <w:tcPr>
            <w:tcW w:w="500" w:type="dxa"/>
            <w:tcBorders>
              <w:top w:val="nil"/>
              <w:left w:val="nil"/>
              <w:bottom w:val="nil"/>
              <w:right w:val="single" w:sz="4" w:space="0" w:color="auto"/>
            </w:tcBorders>
            <w:shd w:val="clear" w:color="auto" w:fill="auto"/>
            <w:vAlign w:val="bottom"/>
            <w:hideMark/>
          </w:tcPr>
          <w:p w14:paraId="721685BD"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Q4</w:t>
            </w:r>
          </w:p>
        </w:tc>
        <w:tc>
          <w:tcPr>
            <w:tcW w:w="493" w:type="dxa"/>
            <w:tcBorders>
              <w:top w:val="nil"/>
              <w:left w:val="nil"/>
              <w:bottom w:val="nil"/>
              <w:right w:val="nil"/>
            </w:tcBorders>
            <w:shd w:val="clear" w:color="auto" w:fill="auto"/>
            <w:vAlign w:val="bottom"/>
            <w:hideMark/>
          </w:tcPr>
          <w:p w14:paraId="6515927A"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Q1</w:t>
            </w:r>
          </w:p>
        </w:tc>
        <w:tc>
          <w:tcPr>
            <w:tcW w:w="659" w:type="dxa"/>
            <w:tcBorders>
              <w:top w:val="nil"/>
              <w:left w:val="nil"/>
              <w:bottom w:val="nil"/>
              <w:right w:val="nil"/>
            </w:tcBorders>
            <w:shd w:val="clear" w:color="auto" w:fill="auto"/>
            <w:vAlign w:val="bottom"/>
            <w:hideMark/>
          </w:tcPr>
          <w:p w14:paraId="07A1450A"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Q2</w:t>
            </w:r>
          </w:p>
        </w:tc>
        <w:tc>
          <w:tcPr>
            <w:tcW w:w="491" w:type="dxa"/>
            <w:tcBorders>
              <w:top w:val="nil"/>
              <w:left w:val="nil"/>
              <w:bottom w:val="nil"/>
              <w:right w:val="nil"/>
            </w:tcBorders>
            <w:shd w:val="clear" w:color="auto" w:fill="auto"/>
            <w:vAlign w:val="bottom"/>
            <w:hideMark/>
          </w:tcPr>
          <w:p w14:paraId="50E247A1"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Q3</w:t>
            </w:r>
          </w:p>
        </w:tc>
        <w:tc>
          <w:tcPr>
            <w:tcW w:w="500" w:type="dxa"/>
            <w:tcBorders>
              <w:top w:val="nil"/>
              <w:left w:val="nil"/>
              <w:bottom w:val="nil"/>
              <w:right w:val="single" w:sz="4" w:space="0" w:color="auto"/>
            </w:tcBorders>
            <w:shd w:val="clear" w:color="auto" w:fill="auto"/>
            <w:vAlign w:val="bottom"/>
            <w:hideMark/>
          </w:tcPr>
          <w:p w14:paraId="13E2D1C5"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Q4</w:t>
            </w:r>
          </w:p>
        </w:tc>
        <w:tc>
          <w:tcPr>
            <w:tcW w:w="493" w:type="dxa"/>
            <w:tcBorders>
              <w:top w:val="nil"/>
              <w:left w:val="nil"/>
              <w:bottom w:val="nil"/>
              <w:right w:val="nil"/>
            </w:tcBorders>
            <w:shd w:val="clear" w:color="auto" w:fill="auto"/>
            <w:vAlign w:val="bottom"/>
            <w:hideMark/>
          </w:tcPr>
          <w:p w14:paraId="7F9623B7"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Q1</w:t>
            </w:r>
          </w:p>
        </w:tc>
        <w:tc>
          <w:tcPr>
            <w:tcW w:w="659" w:type="dxa"/>
            <w:tcBorders>
              <w:top w:val="nil"/>
              <w:left w:val="nil"/>
              <w:bottom w:val="nil"/>
              <w:right w:val="nil"/>
            </w:tcBorders>
            <w:shd w:val="clear" w:color="auto" w:fill="auto"/>
            <w:vAlign w:val="bottom"/>
            <w:hideMark/>
          </w:tcPr>
          <w:p w14:paraId="3DE529AD"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Q2</w:t>
            </w:r>
          </w:p>
        </w:tc>
        <w:tc>
          <w:tcPr>
            <w:tcW w:w="502" w:type="dxa"/>
            <w:tcBorders>
              <w:top w:val="nil"/>
              <w:left w:val="nil"/>
              <w:bottom w:val="nil"/>
              <w:right w:val="single" w:sz="4" w:space="0" w:color="auto"/>
            </w:tcBorders>
            <w:shd w:val="clear" w:color="auto" w:fill="auto"/>
            <w:vAlign w:val="bottom"/>
            <w:hideMark/>
          </w:tcPr>
          <w:p w14:paraId="1B7CB7FA" w14:textId="77777777" w:rsidR="00456F4A" w:rsidRPr="00456F4A" w:rsidRDefault="00456F4A" w:rsidP="00456F4A">
            <w:pPr>
              <w:spacing w:after="0" w:line="240" w:lineRule="auto"/>
              <w:jc w:val="center"/>
              <w:rPr>
                <w:rFonts w:ascii="Corbel" w:eastAsia="Times New Roman" w:hAnsi="Corbel" w:cs="Times New Roman"/>
                <w:b/>
                <w:bCs/>
                <w:color w:val="404040"/>
              </w:rPr>
            </w:pPr>
            <w:r w:rsidRPr="00456F4A">
              <w:rPr>
                <w:rFonts w:ascii="Corbel" w:eastAsia="Times New Roman" w:hAnsi="Corbel" w:cs="Times New Roman"/>
                <w:b/>
                <w:bCs/>
                <w:color w:val="404040"/>
              </w:rPr>
              <w:t>Q3</w:t>
            </w:r>
          </w:p>
        </w:tc>
      </w:tr>
      <w:tr w:rsidR="00456F4A" w:rsidRPr="00456F4A" w14:paraId="2FCF2EEC" w14:textId="77777777" w:rsidTr="00507495">
        <w:trPr>
          <w:trHeight w:val="225"/>
        </w:trPr>
        <w:tc>
          <w:tcPr>
            <w:tcW w:w="2155" w:type="dxa"/>
            <w:tcBorders>
              <w:top w:val="nil"/>
              <w:left w:val="single" w:sz="4" w:space="0" w:color="auto"/>
              <w:bottom w:val="single" w:sz="4" w:space="0" w:color="735773"/>
              <w:right w:val="nil"/>
            </w:tcBorders>
            <w:shd w:val="clear" w:color="auto" w:fill="auto"/>
            <w:noWrap/>
            <w:vAlign w:val="center"/>
            <w:hideMark/>
          </w:tcPr>
          <w:p w14:paraId="22E42022"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 </w:t>
            </w:r>
          </w:p>
        </w:tc>
        <w:tc>
          <w:tcPr>
            <w:tcW w:w="1217" w:type="dxa"/>
            <w:tcBorders>
              <w:top w:val="nil"/>
              <w:left w:val="nil"/>
              <w:bottom w:val="single" w:sz="4" w:space="0" w:color="735773"/>
              <w:right w:val="nil"/>
            </w:tcBorders>
            <w:shd w:val="clear" w:color="auto" w:fill="auto"/>
            <w:vAlign w:val="center"/>
            <w:hideMark/>
          </w:tcPr>
          <w:p w14:paraId="473A41E7"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 </w:t>
            </w:r>
          </w:p>
        </w:tc>
        <w:tc>
          <w:tcPr>
            <w:tcW w:w="369" w:type="dxa"/>
            <w:tcBorders>
              <w:top w:val="nil"/>
              <w:left w:val="nil"/>
              <w:bottom w:val="single" w:sz="4" w:space="0" w:color="735773"/>
              <w:right w:val="nil"/>
            </w:tcBorders>
            <w:shd w:val="clear" w:color="auto" w:fill="auto"/>
            <w:noWrap/>
            <w:vAlign w:val="bottom"/>
            <w:hideMark/>
          </w:tcPr>
          <w:p w14:paraId="20FF039A"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 </w:t>
            </w:r>
          </w:p>
        </w:tc>
        <w:tc>
          <w:tcPr>
            <w:tcW w:w="484" w:type="dxa"/>
            <w:tcBorders>
              <w:top w:val="nil"/>
              <w:left w:val="nil"/>
              <w:bottom w:val="single" w:sz="4" w:space="0" w:color="735773"/>
              <w:right w:val="single" w:sz="4" w:space="0" w:color="auto"/>
            </w:tcBorders>
            <w:shd w:val="clear" w:color="auto" w:fill="auto"/>
            <w:noWrap/>
            <w:vAlign w:val="bottom"/>
            <w:hideMark/>
          </w:tcPr>
          <w:p w14:paraId="7239E5C3"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2</w:t>
            </w:r>
          </w:p>
        </w:tc>
        <w:tc>
          <w:tcPr>
            <w:tcW w:w="493" w:type="dxa"/>
            <w:tcBorders>
              <w:top w:val="nil"/>
              <w:left w:val="nil"/>
              <w:bottom w:val="single" w:sz="4" w:space="0" w:color="735773"/>
              <w:right w:val="nil"/>
            </w:tcBorders>
            <w:shd w:val="clear" w:color="auto" w:fill="auto"/>
            <w:noWrap/>
            <w:vAlign w:val="bottom"/>
            <w:hideMark/>
          </w:tcPr>
          <w:p w14:paraId="32305A3C"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3</w:t>
            </w:r>
          </w:p>
        </w:tc>
        <w:tc>
          <w:tcPr>
            <w:tcW w:w="659" w:type="dxa"/>
            <w:tcBorders>
              <w:top w:val="nil"/>
              <w:left w:val="nil"/>
              <w:bottom w:val="single" w:sz="4" w:space="0" w:color="735773"/>
              <w:right w:val="nil"/>
            </w:tcBorders>
            <w:shd w:val="clear" w:color="auto" w:fill="auto"/>
            <w:noWrap/>
            <w:vAlign w:val="bottom"/>
            <w:hideMark/>
          </w:tcPr>
          <w:p w14:paraId="040274F6"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4</w:t>
            </w:r>
          </w:p>
        </w:tc>
        <w:tc>
          <w:tcPr>
            <w:tcW w:w="491" w:type="dxa"/>
            <w:tcBorders>
              <w:top w:val="nil"/>
              <w:left w:val="nil"/>
              <w:bottom w:val="single" w:sz="4" w:space="0" w:color="735773"/>
              <w:right w:val="nil"/>
            </w:tcBorders>
            <w:shd w:val="clear" w:color="auto" w:fill="auto"/>
            <w:noWrap/>
            <w:vAlign w:val="bottom"/>
            <w:hideMark/>
          </w:tcPr>
          <w:p w14:paraId="6D4DA794"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5</w:t>
            </w:r>
          </w:p>
        </w:tc>
        <w:tc>
          <w:tcPr>
            <w:tcW w:w="500" w:type="dxa"/>
            <w:tcBorders>
              <w:top w:val="nil"/>
              <w:left w:val="nil"/>
              <w:bottom w:val="single" w:sz="4" w:space="0" w:color="735773"/>
              <w:right w:val="single" w:sz="4" w:space="0" w:color="auto"/>
            </w:tcBorders>
            <w:shd w:val="clear" w:color="auto" w:fill="auto"/>
            <w:noWrap/>
            <w:vAlign w:val="bottom"/>
            <w:hideMark/>
          </w:tcPr>
          <w:p w14:paraId="5722CB08"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6</w:t>
            </w:r>
          </w:p>
        </w:tc>
        <w:tc>
          <w:tcPr>
            <w:tcW w:w="493" w:type="dxa"/>
            <w:tcBorders>
              <w:top w:val="nil"/>
              <w:left w:val="nil"/>
              <w:bottom w:val="single" w:sz="4" w:space="0" w:color="735773"/>
              <w:right w:val="nil"/>
            </w:tcBorders>
            <w:shd w:val="clear" w:color="auto" w:fill="auto"/>
            <w:noWrap/>
            <w:vAlign w:val="bottom"/>
            <w:hideMark/>
          </w:tcPr>
          <w:p w14:paraId="6CD3CBE5"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7</w:t>
            </w:r>
          </w:p>
        </w:tc>
        <w:tc>
          <w:tcPr>
            <w:tcW w:w="659" w:type="dxa"/>
            <w:tcBorders>
              <w:top w:val="nil"/>
              <w:left w:val="nil"/>
              <w:bottom w:val="single" w:sz="4" w:space="0" w:color="735773"/>
              <w:right w:val="nil"/>
            </w:tcBorders>
            <w:shd w:val="clear" w:color="auto" w:fill="auto"/>
            <w:noWrap/>
            <w:vAlign w:val="bottom"/>
            <w:hideMark/>
          </w:tcPr>
          <w:p w14:paraId="1441EFCE"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8</w:t>
            </w:r>
          </w:p>
        </w:tc>
        <w:tc>
          <w:tcPr>
            <w:tcW w:w="491" w:type="dxa"/>
            <w:tcBorders>
              <w:top w:val="nil"/>
              <w:left w:val="nil"/>
              <w:bottom w:val="single" w:sz="4" w:space="0" w:color="735773"/>
              <w:right w:val="nil"/>
            </w:tcBorders>
            <w:shd w:val="clear" w:color="auto" w:fill="auto"/>
            <w:noWrap/>
            <w:vAlign w:val="bottom"/>
            <w:hideMark/>
          </w:tcPr>
          <w:p w14:paraId="40995C9F"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9</w:t>
            </w:r>
          </w:p>
        </w:tc>
        <w:tc>
          <w:tcPr>
            <w:tcW w:w="500" w:type="dxa"/>
            <w:tcBorders>
              <w:top w:val="nil"/>
              <w:left w:val="nil"/>
              <w:bottom w:val="single" w:sz="4" w:space="0" w:color="735773"/>
              <w:right w:val="single" w:sz="4" w:space="0" w:color="auto"/>
            </w:tcBorders>
            <w:shd w:val="clear" w:color="auto" w:fill="auto"/>
            <w:noWrap/>
            <w:vAlign w:val="bottom"/>
            <w:hideMark/>
          </w:tcPr>
          <w:p w14:paraId="56830EBC"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10</w:t>
            </w:r>
          </w:p>
        </w:tc>
        <w:tc>
          <w:tcPr>
            <w:tcW w:w="493" w:type="dxa"/>
            <w:tcBorders>
              <w:top w:val="nil"/>
              <w:left w:val="nil"/>
              <w:bottom w:val="single" w:sz="4" w:space="0" w:color="735773"/>
              <w:right w:val="nil"/>
            </w:tcBorders>
            <w:shd w:val="clear" w:color="auto" w:fill="auto"/>
            <w:noWrap/>
            <w:vAlign w:val="bottom"/>
            <w:hideMark/>
          </w:tcPr>
          <w:p w14:paraId="7CD92D5E"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11</w:t>
            </w:r>
          </w:p>
        </w:tc>
        <w:tc>
          <w:tcPr>
            <w:tcW w:w="659" w:type="dxa"/>
            <w:tcBorders>
              <w:top w:val="nil"/>
              <w:left w:val="nil"/>
              <w:bottom w:val="single" w:sz="4" w:space="0" w:color="735773"/>
              <w:right w:val="nil"/>
            </w:tcBorders>
            <w:shd w:val="clear" w:color="auto" w:fill="auto"/>
            <w:noWrap/>
            <w:vAlign w:val="bottom"/>
            <w:hideMark/>
          </w:tcPr>
          <w:p w14:paraId="32AE5EA5"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12</w:t>
            </w:r>
          </w:p>
        </w:tc>
        <w:tc>
          <w:tcPr>
            <w:tcW w:w="502" w:type="dxa"/>
            <w:tcBorders>
              <w:top w:val="nil"/>
              <w:left w:val="nil"/>
              <w:bottom w:val="single" w:sz="4" w:space="0" w:color="735773"/>
              <w:right w:val="single" w:sz="4" w:space="0" w:color="auto"/>
            </w:tcBorders>
            <w:shd w:val="clear" w:color="auto" w:fill="auto"/>
            <w:noWrap/>
            <w:vAlign w:val="bottom"/>
            <w:hideMark/>
          </w:tcPr>
          <w:p w14:paraId="66719E34" w14:textId="77777777" w:rsidR="00456F4A" w:rsidRPr="00456F4A" w:rsidRDefault="00456F4A" w:rsidP="00456F4A">
            <w:pPr>
              <w:spacing w:after="0" w:line="240" w:lineRule="auto"/>
              <w:jc w:val="center"/>
              <w:rPr>
                <w:rFonts w:ascii="Calibri" w:eastAsia="Times New Roman" w:hAnsi="Calibri" w:cs="Calibri"/>
                <w:b/>
                <w:bCs/>
                <w:color w:val="595959"/>
              </w:rPr>
            </w:pPr>
            <w:r w:rsidRPr="00456F4A">
              <w:rPr>
                <w:rFonts w:ascii="Calibri" w:eastAsia="Times New Roman" w:hAnsi="Calibri" w:cs="Calibri"/>
                <w:b/>
                <w:bCs/>
                <w:color w:val="595959"/>
              </w:rPr>
              <w:t>13</w:t>
            </w:r>
          </w:p>
        </w:tc>
      </w:tr>
      <w:tr w:rsidR="00456F4A" w:rsidRPr="00456F4A" w14:paraId="427C0B97" w14:textId="77777777" w:rsidTr="007E001D">
        <w:trPr>
          <w:trHeight w:val="855"/>
        </w:trPr>
        <w:tc>
          <w:tcPr>
            <w:tcW w:w="2155" w:type="dxa"/>
            <w:tcBorders>
              <w:top w:val="nil"/>
              <w:left w:val="single" w:sz="4" w:space="0" w:color="auto"/>
              <w:bottom w:val="nil"/>
              <w:right w:val="nil"/>
            </w:tcBorders>
            <w:shd w:val="clear" w:color="auto" w:fill="auto"/>
            <w:vAlign w:val="center"/>
            <w:hideMark/>
          </w:tcPr>
          <w:p w14:paraId="3A47DB24" w14:textId="77777777" w:rsidR="00456F4A" w:rsidRPr="00456F4A" w:rsidRDefault="00456F4A" w:rsidP="00456F4A">
            <w:pPr>
              <w:spacing w:after="0" w:line="240" w:lineRule="auto"/>
              <w:rPr>
                <w:rFonts w:ascii="Calibri" w:eastAsia="Times New Roman" w:hAnsi="Calibri" w:cs="Calibri"/>
                <w:b/>
                <w:bCs/>
                <w:color w:val="404040"/>
                <w:sz w:val="26"/>
                <w:szCs w:val="26"/>
              </w:rPr>
            </w:pPr>
            <w:r w:rsidRPr="00456F4A">
              <w:rPr>
                <w:rFonts w:ascii="Calibri" w:eastAsia="Times New Roman" w:hAnsi="Calibri" w:cs="Calibri"/>
                <w:b/>
                <w:bCs/>
                <w:color w:val="404040"/>
                <w:sz w:val="26"/>
                <w:szCs w:val="26"/>
              </w:rPr>
              <w:t>Finalize field research plans  </w:t>
            </w:r>
          </w:p>
        </w:tc>
        <w:tc>
          <w:tcPr>
            <w:tcW w:w="1217" w:type="dxa"/>
            <w:tcBorders>
              <w:top w:val="nil"/>
              <w:left w:val="nil"/>
              <w:bottom w:val="nil"/>
              <w:right w:val="nil"/>
            </w:tcBorders>
            <w:shd w:val="clear" w:color="auto" w:fill="auto"/>
            <w:noWrap/>
            <w:vAlign w:val="bottom"/>
            <w:hideMark/>
          </w:tcPr>
          <w:p w14:paraId="5AB6DB30" w14:textId="77777777" w:rsidR="00456F4A" w:rsidRPr="00456F4A" w:rsidRDefault="00456F4A" w:rsidP="00456F4A">
            <w:pPr>
              <w:spacing w:after="0" w:line="240" w:lineRule="auto"/>
              <w:jc w:val="center"/>
              <w:rPr>
                <w:rFonts w:ascii="Calibri" w:eastAsia="Times New Roman" w:hAnsi="Calibri" w:cs="Calibri"/>
                <w:color w:val="404040"/>
                <w:sz w:val="24"/>
                <w:szCs w:val="24"/>
              </w:rPr>
            </w:pPr>
            <w:r w:rsidRPr="00456F4A">
              <w:rPr>
                <w:rFonts w:ascii="Calibri" w:eastAsia="Times New Roman" w:hAnsi="Calibri" w:cs="Calibri"/>
                <w:color w:val="404040"/>
                <w:sz w:val="24"/>
                <w:szCs w:val="24"/>
              </w:rPr>
              <w:t>2</w:t>
            </w:r>
          </w:p>
        </w:tc>
        <w:tc>
          <w:tcPr>
            <w:tcW w:w="369" w:type="dxa"/>
            <w:tcBorders>
              <w:top w:val="nil"/>
              <w:left w:val="nil"/>
              <w:bottom w:val="single" w:sz="4" w:space="0" w:color="FFFFFF"/>
              <w:right w:val="nil"/>
            </w:tcBorders>
            <w:shd w:val="clear" w:color="000000" w:fill="FFFFFF"/>
            <w:noWrap/>
            <w:vAlign w:val="bottom"/>
            <w:hideMark/>
          </w:tcPr>
          <w:p w14:paraId="3403A5AB" w14:textId="77777777" w:rsidR="00456F4A" w:rsidRPr="00456F4A" w:rsidRDefault="00456F4A" w:rsidP="00456F4A">
            <w:pPr>
              <w:spacing w:after="0" w:line="240" w:lineRule="auto"/>
              <w:jc w:val="center"/>
              <w:rPr>
                <w:rFonts w:ascii="Calibri" w:eastAsia="Times New Roman" w:hAnsi="Calibri" w:cs="Calibri"/>
                <w:color w:val="404040"/>
                <w:sz w:val="24"/>
                <w:szCs w:val="24"/>
              </w:rPr>
            </w:pPr>
          </w:p>
        </w:tc>
        <w:tc>
          <w:tcPr>
            <w:tcW w:w="484" w:type="dxa"/>
            <w:tcBorders>
              <w:top w:val="nil"/>
              <w:left w:val="nil"/>
              <w:bottom w:val="single" w:sz="4" w:space="0" w:color="FFFFFF"/>
              <w:right w:val="single" w:sz="4" w:space="0" w:color="auto"/>
            </w:tcBorders>
            <w:shd w:val="thinDiagStripe" w:color="735773" w:fill="auto"/>
            <w:noWrap/>
            <w:vAlign w:val="bottom"/>
            <w:hideMark/>
          </w:tcPr>
          <w:p w14:paraId="0AF753D0"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thinDiagStripe" w:color="735773" w:fill="auto"/>
            <w:noWrap/>
            <w:vAlign w:val="bottom"/>
            <w:hideMark/>
          </w:tcPr>
          <w:p w14:paraId="4D56F900"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1C9B55CF"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0E37B3C1"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09F7A685"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7CBBE0A7"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4EA66A8B"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61522458"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2749399C"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3F33CFE4"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41BB3CD6"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single" w:sz="4" w:space="0" w:color="FFFFFF"/>
              <w:right w:val="single" w:sz="4" w:space="0" w:color="auto"/>
            </w:tcBorders>
            <w:shd w:val="clear" w:color="000000" w:fill="FFFFFF"/>
            <w:noWrap/>
            <w:vAlign w:val="bottom"/>
            <w:hideMark/>
          </w:tcPr>
          <w:p w14:paraId="4719C3DF"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r>
      <w:tr w:rsidR="00456F4A" w:rsidRPr="00456F4A" w14:paraId="5D3B621F" w14:textId="77777777" w:rsidTr="007E001D">
        <w:trPr>
          <w:trHeight w:val="855"/>
        </w:trPr>
        <w:tc>
          <w:tcPr>
            <w:tcW w:w="2155" w:type="dxa"/>
            <w:tcBorders>
              <w:top w:val="nil"/>
              <w:left w:val="single" w:sz="4" w:space="0" w:color="auto"/>
              <w:bottom w:val="nil"/>
              <w:right w:val="nil"/>
            </w:tcBorders>
            <w:shd w:val="clear" w:color="auto" w:fill="auto"/>
            <w:vAlign w:val="center"/>
            <w:hideMark/>
          </w:tcPr>
          <w:p w14:paraId="2BD587EF" w14:textId="77777777" w:rsidR="00456F4A" w:rsidRPr="00456F4A" w:rsidRDefault="00456F4A" w:rsidP="00456F4A">
            <w:pPr>
              <w:spacing w:after="0" w:line="240" w:lineRule="auto"/>
              <w:rPr>
                <w:rFonts w:ascii="Calibri" w:eastAsia="Times New Roman" w:hAnsi="Calibri" w:cs="Calibri"/>
                <w:b/>
                <w:bCs/>
                <w:color w:val="404040"/>
                <w:sz w:val="26"/>
                <w:szCs w:val="26"/>
              </w:rPr>
            </w:pPr>
            <w:r w:rsidRPr="00456F4A">
              <w:rPr>
                <w:rFonts w:ascii="Calibri" w:eastAsia="Times New Roman" w:hAnsi="Calibri" w:cs="Calibri"/>
                <w:b/>
                <w:bCs/>
                <w:color w:val="404040"/>
                <w:sz w:val="26"/>
                <w:szCs w:val="26"/>
              </w:rPr>
              <w:t>Season 1 data collection</w:t>
            </w:r>
          </w:p>
        </w:tc>
        <w:tc>
          <w:tcPr>
            <w:tcW w:w="1217" w:type="dxa"/>
            <w:tcBorders>
              <w:top w:val="nil"/>
              <w:left w:val="nil"/>
              <w:bottom w:val="nil"/>
              <w:right w:val="nil"/>
            </w:tcBorders>
            <w:shd w:val="clear" w:color="auto" w:fill="auto"/>
            <w:noWrap/>
            <w:vAlign w:val="bottom"/>
            <w:hideMark/>
          </w:tcPr>
          <w:p w14:paraId="795A1ADB" w14:textId="77777777" w:rsidR="00456F4A" w:rsidRPr="00456F4A" w:rsidRDefault="00456F4A" w:rsidP="00456F4A">
            <w:pPr>
              <w:spacing w:after="0" w:line="240" w:lineRule="auto"/>
              <w:jc w:val="center"/>
              <w:rPr>
                <w:rFonts w:ascii="Calibri" w:eastAsia="Times New Roman" w:hAnsi="Calibri" w:cs="Calibri"/>
                <w:color w:val="404040"/>
                <w:sz w:val="24"/>
                <w:szCs w:val="24"/>
              </w:rPr>
            </w:pPr>
            <w:r w:rsidRPr="00456F4A">
              <w:rPr>
                <w:rFonts w:ascii="Calibri" w:eastAsia="Times New Roman" w:hAnsi="Calibri" w:cs="Calibri"/>
                <w:color w:val="404040"/>
                <w:sz w:val="24"/>
                <w:szCs w:val="24"/>
              </w:rPr>
              <w:t>2</w:t>
            </w:r>
          </w:p>
        </w:tc>
        <w:tc>
          <w:tcPr>
            <w:tcW w:w="369" w:type="dxa"/>
            <w:tcBorders>
              <w:top w:val="nil"/>
              <w:left w:val="nil"/>
              <w:bottom w:val="single" w:sz="4" w:space="0" w:color="FFFFFF"/>
              <w:right w:val="nil"/>
            </w:tcBorders>
            <w:shd w:val="clear" w:color="000000" w:fill="FFFFFF"/>
            <w:noWrap/>
            <w:vAlign w:val="bottom"/>
            <w:hideMark/>
          </w:tcPr>
          <w:p w14:paraId="10C5329B" w14:textId="77777777" w:rsidR="00456F4A" w:rsidRPr="00456F4A" w:rsidRDefault="00456F4A" w:rsidP="00456F4A">
            <w:pPr>
              <w:spacing w:after="0" w:line="240" w:lineRule="auto"/>
              <w:jc w:val="center"/>
              <w:rPr>
                <w:rFonts w:ascii="Calibri" w:eastAsia="Times New Roman" w:hAnsi="Calibri" w:cs="Calibri"/>
                <w:color w:val="404040"/>
                <w:sz w:val="24"/>
                <w:szCs w:val="24"/>
              </w:rPr>
            </w:pPr>
          </w:p>
        </w:tc>
        <w:tc>
          <w:tcPr>
            <w:tcW w:w="484" w:type="dxa"/>
            <w:tcBorders>
              <w:top w:val="nil"/>
              <w:left w:val="nil"/>
              <w:bottom w:val="single" w:sz="4" w:space="0" w:color="FFFFFF"/>
              <w:right w:val="single" w:sz="4" w:space="0" w:color="auto"/>
            </w:tcBorders>
            <w:shd w:val="clear" w:color="000000" w:fill="F2F2F2"/>
            <w:noWrap/>
            <w:vAlign w:val="bottom"/>
            <w:hideMark/>
          </w:tcPr>
          <w:p w14:paraId="78331F46"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5C43BEC2"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thinDiagStripe" w:color="735773" w:fill="auto"/>
            <w:noWrap/>
            <w:vAlign w:val="bottom"/>
            <w:hideMark/>
          </w:tcPr>
          <w:p w14:paraId="2DF9FBE8"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thinDiagStripe" w:color="735773" w:fill="auto"/>
            <w:noWrap/>
            <w:vAlign w:val="bottom"/>
            <w:hideMark/>
          </w:tcPr>
          <w:p w14:paraId="6A41CE8B"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799D8D79"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2C495923"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14ED6910"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72E43A04"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389295ED"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6A8E8348"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784F475B"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single" w:sz="4" w:space="0" w:color="FFFFFF"/>
              <w:right w:val="single" w:sz="4" w:space="0" w:color="auto"/>
            </w:tcBorders>
            <w:shd w:val="clear" w:color="000000" w:fill="FFFFFF"/>
            <w:noWrap/>
            <w:vAlign w:val="bottom"/>
            <w:hideMark/>
          </w:tcPr>
          <w:p w14:paraId="147164F9"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r>
      <w:tr w:rsidR="00456F4A" w:rsidRPr="00456F4A" w14:paraId="74194B8D" w14:textId="77777777" w:rsidTr="007E001D">
        <w:trPr>
          <w:trHeight w:val="855"/>
        </w:trPr>
        <w:tc>
          <w:tcPr>
            <w:tcW w:w="2155" w:type="dxa"/>
            <w:tcBorders>
              <w:top w:val="nil"/>
              <w:left w:val="single" w:sz="4" w:space="0" w:color="auto"/>
              <w:bottom w:val="nil"/>
              <w:right w:val="nil"/>
            </w:tcBorders>
            <w:shd w:val="clear" w:color="auto" w:fill="auto"/>
            <w:vAlign w:val="center"/>
            <w:hideMark/>
          </w:tcPr>
          <w:p w14:paraId="4A302BE8" w14:textId="54FD82E1" w:rsidR="00456F4A" w:rsidRPr="00456F4A" w:rsidRDefault="00456F4A" w:rsidP="00456F4A">
            <w:pPr>
              <w:spacing w:after="0" w:line="240" w:lineRule="auto"/>
              <w:rPr>
                <w:rFonts w:ascii="Calibri" w:eastAsia="Times New Roman" w:hAnsi="Calibri" w:cs="Calibri"/>
                <w:b/>
                <w:bCs/>
                <w:color w:val="404040"/>
                <w:sz w:val="26"/>
                <w:szCs w:val="26"/>
              </w:rPr>
            </w:pPr>
            <w:r w:rsidRPr="00456F4A">
              <w:rPr>
                <w:rFonts w:ascii="Calibri" w:eastAsia="Times New Roman" w:hAnsi="Calibri" w:cs="Calibri"/>
                <w:b/>
                <w:bCs/>
                <w:color w:val="404040"/>
                <w:sz w:val="26"/>
                <w:szCs w:val="26"/>
              </w:rPr>
              <w:t xml:space="preserve">Season </w:t>
            </w:r>
            <w:r w:rsidR="006F44CF">
              <w:rPr>
                <w:rFonts w:ascii="Calibri" w:eastAsia="Times New Roman" w:hAnsi="Calibri" w:cs="Calibri"/>
                <w:b/>
                <w:bCs/>
                <w:color w:val="404040"/>
                <w:sz w:val="26"/>
                <w:szCs w:val="26"/>
              </w:rPr>
              <w:t>1</w:t>
            </w:r>
            <w:r w:rsidRPr="00456F4A">
              <w:rPr>
                <w:rFonts w:ascii="Calibri" w:eastAsia="Times New Roman" w:hAnsi="Calibri" w:cs="Calibri"/>
                <w:b/>
                <w:bCs/>
                <w:color w:val="404040"/>
                <w:sz w:val="26"/>
                <w:szCs w:val="26"/>
              </w:rPr>
              <w:t xml:space="preserve"> data management</w:t>
            </w:r>
          </w:p>
        </w:tc>
        <w:tc>
          <w:tcPr>
            <w:tcW w:w="1217" w:type="dxa"/>
            <w:tcBorders>
              <w:top w:val="nil"/>
              <w:left w:val="nil"/>
              <w:bottom w:val="nil"/>
              <w:right w:val="nil"/>
            </w:tcBorders>
            <w:shd w:val="clear" w:color="auto" w:fill="auto"/>
            <w:noWrap/>
            <w:vAlign w:val="bottom"/>
            <w:hideMark/>
          </w:tcPr>
          <w:p w14:paraId="739046D7" w14:textId="77777777" w:rsidR="00456F4A" w:rsidRPr="00456F4A" w:rsidRDefault="00456F4A" w:rsidP="00456F4A">
            <w:pPr>
              <w:spacing w:after="0" w:line="240" w:lineRule="auto"/>
              <w:jc w:val="center"/>
              <w:rPr>
                <w:rFonts w:ascii="Calibri" w:eastAsia="Times New Roman" w:hAnsi="Calibri" w:cs="Calibri"/>
                <w:color w:val="404040"/>
                <w:sz w:val="24"/>
                <w:szCs w:val="24"/>
              </w:rPr>
            </w:pPr>
            <w:r w:rsidRPr="00456F4A">
              <w:rPr>
                <w:rFonts w:ascii="Calibri" w:eastAsia="Times New Roman" w:hAnsi="Calibri" w:cs="Calibri"/>
                <w:color w:val="404040"/>
                <w:sz w:val="24"/>
                <w:szCs w:val="24"/>
              </w:rPr>
              <w:t>2</w:t>
            </w:r>
          </w:p>
        </w:tc>
        <w:tc>
          <w:tcPr>
            <w:tcW w:w="369" w:type="dxa"/>
            <w:tcBorders>
              <w:top w:val="nil"/>
              <w:left w:val="nil"/>
              <w:bottom w:val="single" w:sz="4" w:space="0" w:color="FFFFFF"/>
              <w:right w:val="nil"/>
            </w:tcBorders>
            <w:shd w:val="clear" w:color="000000" w:fill="FFFFFF"/>
            <w:noWrap/>
            <w:vAlign w:val="bottom"/>
            <w:hideMark/>
          </w:tcPr>
          <w:p w14:paraId="00FAAC02" w14:textId="77777777" w:rsidR="00456F4A" w:rsidRPr="00456F4A" w:rsidRDefault="00456F4A" w:rsidP="00456F4A">
            <w:pPr>
              <w:spacing w:after="0" w:line="240" w:lineRule="auto"/>
              <w:jc w:val="center"/>
              <w:rPr>
                <w:rFonts w:ascii="Calibri" w:eastAsia="Times New Roman" w:hAnsi="Calibri" w:cs="Calibri"/>
                <w:color w:val="404040"/>
                <w:sz w:val="24"/>
                <w:szCs w:val="24"/>
              </w:rPr>
            </w:pPr>
          </w:p>
        </w:tc>
        <w:tc>
          <w:tcPr>
            <w:tcW w:w="484" w:type="dxa"/>
            <w:tcBorders>
              <w:top w:val="nil"/>
              <w:left w:val="nil"/>
              <w:bottom w:val="single" w:sz="4" w:space="0" w:color="FFFFFF"/>
              <w:right w:val="single" w:sz="4" w:space="0" w:color="auto"/>
            </w:tcBorders>
            <w:shd w:val="clear" w:color="000000" w:fill="F2F2F2"/>
            <w:noWrap/>
            <w:vAlign w:val="bottom"/>
            <w:hideMark/>
          </w:tcPr>
          <w:p w14:paraId="2BA56C9E"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0444C378"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5D0B77F2"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1C055A97"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thinDiagStripe" w:color="735773" w:fill="auto"/>
            <w:noWrap/>
            <w:vAlign w:val="bottom"/>
            <w:hideMark/>
          </w:tcPr>
          <w:p w14:paraId="14712295"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thinDiagStripe" w:color="735773" w:fill="auto"/>
            <w:noWrap/>
            <w:vAlign w:val="bottom"/>
            <w:hideMark/>
          </w:tcPr>
          <w:p w14:paraId="53486BCB"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1C5C3765"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18C5DFB5"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7A23D733"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4C03C56C"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47B9B0DA"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single" w:sz="4" w:space="0" w:color="FFFFFF"/>
              <w:right w:val="single" w:sz="4" w:space="0" w:color="auto"/>
            </w:tcBorders>
            <w:shd w:val="clear" w:color="000000" w:fill="FFFFFF"/>
            <w:noWrap/>
            <w:vAlign w:val="bottom"/>
            <w:hideMark/>
          </w:tcPr>
          <w:p w14:paraId="39C27543"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r>
      <w:tr w:rsidR="00456F4A" w:rsidRPr="00456F4A" w14:paraId="70FB0844" w14:textId="77777777" w:rsidTr="007E001D">
        <w:trPr>
          <w:trHeight w:val="855"/>
        </w:trPr>
        <w:tc>
          <w:tcPr>
            <w:tcW w:w="2155" w:type="dxa"/>
            <w:tcBorders>
              <w:top w:val="nil"/>
              <w:left w:val="single" w:sz="4" w:space="0" w:color="auto"/>
              <w:bottom w:val="nil"/>
              <w:right w:val="nil"/>
            </w:tcBorders>
            <w:shd w:val="clear" w:color="auto" w:fill="auto"/>
            <w:vAlign w:val="center"/>
            <w:hideMark/>
          </w:tcPr>
          <w:p w14:paraId="0974539E" w14:textId="77777777" w:rsidR="00456F4A" w:rsidRPr="00456F4A" w:rsidRDefault="00456F4A" w:rsidP="00456F4A">
            <w:pPr>
              <w:spacing w:after="0" w:line="240" w:lineRule="auto"/>
              <w:rPr>
                <w:rFonts w:ascii="Calibri" w:eastAsia="Times New Roman" w:hAnsi="Calibri" w:cs="Calibri"/>
                <w:b/>
                <w:bCs/>
                <w:color w:val="404040"/>
                <w:sz w:val="26"/>
                <w:szCs w:val="26"/>
              </w:rPr>
            </w:pPr>
            <w:r w:rsidRPr="00456F4A">
              <w:rPr>
                <w:rFonts w:ascii="Calibri" w:eastAsia="Times New Roman" w:hAnsi="Calibri" w:cs="Calibri"/>
                <w:b/>
                <w:bCs/>
                <w:color w:val="404040"/>
                <w:sz w:val="26"/>
                <w:szCs w:val="26"/>
              </w:rPr>
              <w:t>Finalize year 2 field research plans</w:t>
            </w:r>
          </w:p>
        </w:tc>
        <w:tc>
          <w:tcPr>
            <w:tcW w:w="1217" w:type="dxa"/>
            <w:tcBorders>
              <w:top w:val="nil"/>
              <w:left w:val="nil"/>
              <w:bottom w:val="nil"/>
              <w:right w:val="nil"/>
            </w:tcBorders>
            <w:shd w:val="clear" w:color="auto" w:fill="auto"/>
            <w:noWrap/>
            <w:vAlign w:val="bottom"/>
            <w:hideMark/>
          </w:tcPr>
          <w:p w14:paraId="16AF0028" w14:textId="77777777" w:rsidR="00456F4A" w:rsidRPr="00456F4A" w:rsidRDefault="00456F4A" w:rsidP="00456F4A">
            <w:pPr>
              <w:spacing w:after="0" w:line="240" w:lineRule="auto"/>
              <w:jc w:val="center"/>
              <w:rPr>
                <w:rFonts w:ascii="Calibri" w:eastAsia="Times New Roman" w:hAnsi="Calibri" w:cs="Calibri"/>
                <w:color w:val="404040"/>
                <w:sz w:val="24"/>
                <w:szCs w:val="24"/>
              </w:rPr>
            </w:pPr>
            <w:r w:rsidRPr="00456F4A">
              <w:rPr>
                <w:rFonts w:ascii="Calibri" w:eastAsia="Times New Roman" w:hAnsi="Calibri" w:cs="Calibri"/>
                <w:color w:val="404040"/>
                <w:sz w:val="24"/>
                <w:szCs w:val="24"/>
              </w:rPr>
              <w:t>1</w:t>
            </w:r>
          </w:p>
        </w:tc>
        <w:tc>
          <w:tcPr>
            <w:tcW w:w="369" w:type="dxa"/>
            <w:tcBorders>
              <w:top w:val="nil"/>
              <w:left w:val="nil"/>
              <w:bottom w:val="single" w:sz="4" w:space="0" w:color="FFFFFF"/>
              <w:right w:val="nil"/>
            </w:tcBorders>
            <w:shd w:val="clear" w:color="000000" w:fill="FFFFFF"/>
            <w:noWrap/>
            <w:vAlign w:val="bottom"/>
            <w:hideMark/>
          </w:tcPr>
          <w:p w14:paraId="52A5B30E" w14:textId="77777777" w:rsidR="00456F4A" w:rsidRPr="00456F4A" w:rsidRDefault="00456F4A" w:rsidP="00456F4A">
            <w:pPr>
              <w:spacing w:after="0" w:line="240" w:lineRule="auto"/>
              <w:jc w:val="center"/>
              <w:rPr>
                <w:rFonts w:ascii="Calibri" w:eastAsia="Times New Roman" w:hAnsi="Calibri" w:cs="Calibri"/>
                <w:color w:val="404040"/>
                <w:sz w:val="24"/>
                <w:szCs w:val="24"/>
              </w:rPr>
            </w:pPr>
          </w:p>
        </w:tc>
        <w:tc>
          <w:tcPr>
            <w:tcW w:w="484" w:type="dxa"/>
            <w:tcBorders>
              <w:top w:val="nil"/>
              <w:left w:val="nil"/>
              <w:bottom w:val="single" w:sz="4" w:space="0" w:color="FFFFFF"/>
              <w:right w:val="single" w:sz="4" w:space="0" w:color="auto"/>
            </w:tcBorders>
            <w:shd w:val="clear" w:color="000000" w:fill="F2F2F2"/>
            <w:noWrap/>
            <w:vAlign w:val="bottom"/>
            <w:hideMark/>
          </w:tcPr>
          <w:p w14:paraId="39D30697"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6FB094E9"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644DA87A"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124537A6"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0474A14B"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thinDiagStripe" w:color="735773" w:fill="auto"/>
            <w:noWrap/>
            <w:vAlign w:val="bottom"/>
            <w:hideMark/>
          </w:tcPr>
          <w:p w14:paraId="095C6063"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37EA7AE6"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3979A797"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0B1F2420"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44B9920D"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1E24DFEE"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single" w:sz="4" w:space="0" w:color="FFFFFF"/>
              <w:right w:val="single" w:sz="4" w:space="0" w:color="auto"/>
            </w:tcBorders>
            <w:shd w:val="clear" w:color="000000" w:fill="FFFFFF"/>
            <w:noWrap/>
            <w:vAlign w:val="bottom"/>
            <w:hideMark/>
          </w:tcPr>
          <w:p w14:paraId="07AF73D3"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r>
      <w:tr w:rsidR="00456F4A" w:rsidRPr="00456F4A" w14:paraId="09FF0AF5" w14:textId="77777777" w:rsidTr="007E001D">
        <w:trPr>
          <w:trHeight w:val="855"/>
        </w:trPr>
        <w:tc>
          <w:tcPr>
            <w:tcW w:w="2155" w:type="dxa"/>
            <w:tcBorders>
              <w:top w:val="nil"/>
              <w:left w:val="single" w:sz="4" w:space="0" w:color="auto"/>
              <w:bottom w:val="nil"/>
              <w:right w:val="nil"/>
            </w:tcBorders>
            <w:shd w:val="clear" w:color="auto" w:fill="auto"/>
            <w:vAlign w:val="center"/>
            <w:hideMark/>
          </w:tcPr>
          <w:p w14:paraId="697915C2" w14:textId="77777777" w:rsidR="00456F4A" w:rsidRPr="00456F4A" w:rsidRDefault="00456F4A" w:rsidP="00456F4A">
            <w:pPr>
              <w:spacing w:after="0" w:line="240" w:lineRule="auto"/>
              <w:rPr>
                <w:rFonts w:ascii="Calibri" w:eastAsia="Times New Roman" w:hAnsi="Calibri" w:cs="Calibri"/>
                <w:b/>
                <w:bCs/>
                <w:color w:val="404040"/>
                <w:sz w:val="26"/>
                <w:szCs w:val="26"/>
              </w:rPr>
            </w:pPr>
            <w:r w:rsidRPr="00456F4A">
              <w:rPr>
                <w:rFonts w:ascii="Calibri" w:eastAsia="Times New Roman" w:hAnsi="Calibri" w:cs="Calibri"/>
                <w:b/>
                <w:bCs/>
                <w:color w:val="404040"/>
                <w:sz w:val="26"/>
                <w:szCs w:val="26"/>
              </w:rPr>
              <w:t>Season 2 data collection</w:t>
            </w:r>
          </w:p>
        </w:tc>
        <w:tc>
          <w:tcPr>
            <w:tcW w:w="1217" w:type="dxa"/>
            <w:tcBorders>
              <w:top w:val="nil"/>
              <w:left w:val="nil"/>
              <w:bottom w:val="nil"/>
              <w:right w:val="nil"/>
            </w:tcBorders>
            <w:shd w:val="clear" w:color="auto" w:fill="auto"/>
            <w:noWrap/>
            <w:vAlign w:val="bottom"/>
            <w:hideMark/>
          </w:tcPr>
          <w:p w14:paraId="12D9E37F" w14:textId="77777777" w:rsidR="00456F4A" w:rsidRPr="00456F4A" w:rsidRDefault="00456F4A" w:rsidP="00456F4A">
            <w:pPr>
              <w:spacing w:after="0" w:line="240" w:lineRule="auto"/>
              <w:jc w:val="center"/>
              <w:rPr>
                <w:rFonts w:ascii="Calibri" w:eastAsia="Times New Roman" w:hAnsi="Calibri" w:cs="Calibri"/>
                <w:color w:val="404040"/>
                <w:sz w:val="24"/>
                <w:szCs w:val="24"/>
              </w:rPr>
            </w:pPr>
            <w:r w:rsidRPr="00456F4A">
              <w:rPr>
                <w:rFonts w:ascii="Calibri" w:eastAsia="Times New Roman" w:hAnsi="Calibri" w:cs="Calibri"/>
                <w:color w:val="404040"/>
                <w:sz w:val="24"/>
                <w:szCs w:val="24"/>
              </w:rPr>
              <w:t>2</w:t>
            </w:r>
          </w:p>
        </w:tc>
        <w:tc>
          <w:tcPr>
            <w:tcW w:w="369" w:type="dxa"/>
            <w:tcBorders>
              <w:top w:val="nil"/>
              <w:left w:val="nil"/>
              <w:bottom w:val="single" w:sz="4" w:space="0" w:color="FFFFFF"/>
              <w:right w:val="nil"/>
            </w:tcBorders>
            <w:shd w:val="clear" w:color="000000" w:fill="FFFFFF"/>
            <w:noWrap/>
            <w:vAlign w:val="bottom"/>
            <w:hideMark/>
          </w:tcPr>
          <w:p w14:paraId="4BF93981" w14:textId="77777777" w:rsidR="00456F4A" w:rsidRPr="00456F4A" w:rsidRDefault="00456F4A" w:rsidP="00456F4A">
            <w:pPr>
              <w:spacing w:after="0" w:line="240" w:lineRule="auto"/>
              <w:jc w:val="center"/>
              <w:rPr>
                <w:rFonts w:ascii="Calibri" w:eastAsia="Times New Roman" w:hAnsi="Calibri" w:cs="Calibri"/>
                <w:color w:val="404040"/>
                <w:sz w:val="24"/>
                <w:szCs w:val="24"/>
              </w:rPr>
            </w:pPr>
          </w:p>
        </w:tc>
        <w:tc>
          <w:tcPr>
            <w:tcW w:w="484" w:type="dxa"/>
            <w:tcBorders>
              <w:top w:val="nil"/>
              <w:left w:val="nil"/>
              <w:bottom w:val="single" w:sz="4" w:space="0" w:color="FFFFFF"/>
              <w:right w:val="single" w:sz="4" w:space="0" w:color="auto"/>
            </w:tcBorders>
            <w:shd w:val="clear" w:color="000000" w:fill="F2F2F2"/>
            <w:noWrap/>
            <w:vAlign w:val="bottom"/>
            <w:hideMark/>
          </w:tcPr>
          <w:p w14:paraId="331FF6CF"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6C4C4115"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4469B352"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261131D3"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7CB127BE"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334E97CA"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thinDiagStripe" w:color="735773" w:fill="auto"/>
            <w:noWrap/>
            <w:vAlign w:val="bottom"/>
            <w:hideMark/>
          </w:tcPr>
          <w:p w14:paraId="6921EC48"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thinDiagStripe" w:color="735773" w:fill="auto"/>
            <w:noWrap/>
            <w:vAlign w:val="bottom"/>
            <w:hideMark/>
          </w:tcPr>
          <w:p w14:paraId="5572866F"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259C28F7"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72DC60FF"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0B820B9A"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single" w:sz="4" w:space="0" w:color="FFFFFF"/>
              <w:right w:val="single" w:sz="4" w:space="0" w:color="auto"/>
            </w:tcBorders>
            <w:shd w:val="clear" w:color="000000" w:fill="FFFFFF"/>
            <w:noWrap/>
            <w:vAlign w:val="bottom"/>
            <w:hideMark/>
          </w:tcPr>
          <w:p w14:paraId="1703DB41"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r>
      <w:tr w:rsidR="00456F4A" w:rsidRPr="00456F4A" w14:paraId="421FB886" w14:textId="77777777" w:rsidTr="007E001D">
        <w:trPr>
          <w:trHeight w:val="855"/>
        </w:trPr>
        <w:tc>
          <w:tcPr>
            <w:tcW w:w="2155" w:type="dxa"/>
            <w:tcBorders>
              <w:top w:val="nil"/>
              <w:left w:val="single" w:sz="4" w:space="0" w:color="auto"/>
              <w:bottom w:val="nil"/>
              <w:right w:val="nil"/>
            </w:tcBorders>
            <w:shd w:val="clear" w:color="auto" w:fill="auto"/>
            <w:vAlign w:val="center"/>
            <w:hideMark/>
          </w:tcPr>
          <w:p w14:paraId="18541147" w14:textId="77777777" w:rsidR="00456F4A" w:rsidRPr="00456F4A" w:rsidRDefault="00456F4A" w:rsidP="00456F4A">
            <w:pPr>
              <w:spacing w:after="0" w:line="240" w:lineRule="auto"/>
              <w:rPr>
                <w:rFonts w:ascii="Calibri" w:eastAsia="Times New Roman" w:hAnsi="Calibri" w:cs="Calibri"/>
                <w:b/>
                <w:bCs/>
                <w:color w:val="404040"/>
                <w:sz w:val="26"/>
                <w:szCs w:val="26"/>
              </w:rPr>
            </w:pPr>
            <w:r w:rsidRPr="00456F4A">
              <w:rPr>
                <w:rFonts w:ascii="Calibri" w:eastAsia="Times New Roman" w:hAnsi="Calibri" w:cs="Calibri"/>
                <w:b/>
                <w:bCs/>
                <w:color w:val="404040"/>
                <w:sz w:val="26"/>
                <w:szCs w:val="26"/>
              </w:rPr>
              <w:t>Incorporate season 2 data &amp; initial extension talks</w:t>
            </w:r>
          </w:p>
        </w:tc>
        <w:tc>
          <w:tcPr>
            <w:tcW w:w="1217" w:type="dxa"/>
            <w:tcBorders>
              <w:top w:val="nil"/>
              <w:left w:val="nil"/>
              <w:bottom w:val="nil"/>
              <w:right w:val="nil"/>
            </w:tcBorders>
            <w:shd w:val="clear" w:color="auto" w:fill="auto"/>
            <w:noWrap/>
            <w:vAlign w:val="bottom"/>
            <w:hideMark/>
          </w:tcPr>
          <w:p w14:paraId="4568A173" w14:textId="77777777" w:rsidR="00456F4A" w:rsidRPr="00456F4A" w:rsidRDefault="00456F4A" w:rsidP="00456F4A">
            <w:pPr>
              <w:spacing w:after="0" w:line="240" w:lineRule="auto"/>
              <w:jc w:val="center"/>
              <w:rPr>
                <w:rFonts w:ascii="Calibri" w:eastAsia="Times New Roman" w:hAnsi="Calibri" w:cs="Calibri"/>
                <w:color w:val="404040"/>
                <w:sz w:val="24"/>
                <w:szCs w:val="24"/>
              </w:rPr>
            </w:pPr>
            <w:r w:rsidRPr="00456F4A">
              <w:rPr>
                <w:rFonts w:ascii="Calibri" w:eastAsia="Times New Roman" w:hAnsi="Calibri" w:cs="Calibri"/>
                <w:color w:val="404040"/>
                <w:sz w:val="24"/>
                <w:szCs w:val="24"/>
              </w:rPr>
              <w:t>2</w:t>
            </w:r>
          </w:p>
        </w:tc>
        <w:tc>
          <w:tcPr>
            <w:tcW w:w="369" w:type="dxa"/>
            <w:tcBorders>
              <w:top w:val="nil"/>
              <w:left w:val="nil"/>
              <w:bottom w:val="single" w:sz="4" w:space="0" w:color="FFFFFF"/>
              <w:right w:val="nil"/>
            </w:tcBorders>
            <w:shd w:val="clear" w:color="000000" w:fill="FFFFFF"/>
            <w:noWrap/>
            <w:vAlign w:val="bottom"/>
            <w:hideMark/>
          </w:tcPr>
          <w:p w14:paraId="5A069F0E" w14:textId="77777777" w:rsidR="00456F4A" w:rsidRPr="00456F4A" w:rsidRDefault="00456F4A" w:rsidP="00456F4A">
            <w:pPr>
              <w:spacing w:after="0" w:line="240" w:lineRule="auto"/>
              <w:jc w:val="center"/>
              <w:rPr>
                <w:rFonts w:ascii="Calibri" w:eastAsia="Times New Roman" w:hAnsi="Calibri" w:cs="Calibri"/>
                <w:color w:val="404040"/>
                <w:sz w:val="24"/>
                <w:szCs w:val="24"/>
              </w:rPr>
            </w:pPr>
          </w:p>
        </w:tc>
        <w:tc>
          <w:tcPr>
            <w:tcW w:w="484" w:type="dxa"/>
            <w:tcBorders>
              <w:top w:val="nil"/>
              <w:left w:val="nil"/>
              <w:bottom w:val="single" w:sz="4" w:space="0" w:color="FFFFFF"/>
              <w:right w:val="single" w:sz="4" w:space="0" w:color="auto"/>
            </w:tcBorders>
            <w:shd w:val="clear" w:color="000000" w:fill="F2F2F2"/>
            <w:noWrap/>
            <w:vAlign w:val="bottom"/>
            <w:hideMark/>
          </w:tcPr>
          <w:p w14:paraId="4B10B39A"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5AC6FAC7"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1E8F8A59"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03BB3AF3"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40D11BBF"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31225351"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0CE3179B"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7F0D4C3A"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thinDiagStripe" w:color="735773" w:fill="auto"/>
            <w:noWrap/>
            <w:vAlign w:val="bottom"/>
            <w:hideMark/>
          </w:tcPr>
          <w:p w14:paraId="3C3252BE"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thinDiagStripe" w:color="735773" w:fill="auto"/>
            <w:noWrap/>
            <w:vAlign w:val="bottom"/>
            <w:hideMark/>
          </w:tcPr>
          <w:p w14:paraId="719D1EA8"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33AE18DB"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single" w:sz="4" w:space="0" w:color="FFFFFF"/>
              <w:right w:val="single" w:sz="4" w:space="0" w:color="auto"/>
            </w:tcBorders>
            <w:shd w:val="clear" w:color="000000" w:fill="FFFFFF"/>
            <w:noWrap/>
            <w:vAlign w:val="bottom"/>
            <w:hideMark/>
          </w:tcPr>
          <w:p w14:paraId="38FC4CEB"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r>
      <w:tr w:rsidR="00456F4A" w:rsidRPr="00456F4A" w14:paraId="5673F7B3" w14:textId="77777777" w:rsidTr="007E001D">
        <w:trPr>
          <w:trHeight w:val="855"/>
        </w:trPr>
        <w:tc>
          <w:tcPr>
            <w:tcW w:w="2155" w:type="dxa"/>
            <w:tcBorders>
              <w:top w:val="nil"/>
              <w:left w:val="single" w:sz="4" w:space="0" w:color="auto"/>
              <w:bottom w:val="nil"/>
              <w:right w:val="nil"/>
            </w:tcBorders>
            <w:shd w:val="clear" w:color="auto" w:fill="auto"/>
            <w:vAlign w:val="center"/>
            <w:hideMark/>
          </w:tcPr>
          <w:p w14:paraId="55F6CEC3" w14:textId="77777777" w:rsidR="00456F4A" w:rsidRPr="00456F4A" w:rsidRDefault="00456F4A" w:rsidP="00456F4A">
            <w:pPr>
              <w:spacing w:after="0" w:line="240" w:lineRule="auto"/>
              <w:rPr>
                <w:rFonts w:ascii="Calibri" w:eastAsia="Times New Roman" w:hAnsi="Calibri" w:cs="Calibri"/>
                <w:b/>
                <w:bCs/>
                <w:color w:val="404040"/>
                <w:sz w:val="26"/>
                <w:szCs w:val="26"/>
              </w:rPr>
            </w:pPr>
            <w:r w:rsidRPr="00456F4A">
              <w:rPr>
                <w:rFonts w:ascii="Calibri" w:eastAsia="Times New Roman" w:hAnsi="Calibri" w:cs="Calibri"/>
                <w:b/>
                <w:bCs/>
                <w:color w:val="404040"/>
                <w:sz w:val="26"/>
                <w:szCs w:val="26"/>
              </w:rPr>
              <w:t>Finalize year 3 field research plans</w:t>
            </w:r>
          </w:p>
        </w:tc>
        <w:tc>
          <w:tcPr>
            <w:tcW w:w="1217" w:type="dxa"/>
            <w:tcBorders>
              <w:top w:val="nil"/>
              <w:left w:val="nil"/>
              <w:bottom w:val="nil"/>
              <w:right w:val="nil"/>
            </w:tcBorders>
            <w:shd w:val="clear" w:color="auto" w:fill="auto"/>
            <w:noWrap/>
            <w:vAlign w:val="bottom"/>
            <w:hideMark/>
          </w:tcPr>
          <w:p w14:paraId="1DA31C46" w14:textId="77777777" w:rsidR="00456F4A" w:rsidRPr="00456F4A" w:rsidRDefault="00456F4A" w:rsidP="00456F4A">
            <w:pPr>
              <w:spacing w:after="0" w:line="240" w:lineRule="auto"/>
              <w:jc w:val="center"/>
              <w:rPr>
                <w:rFonts w:ascii="Calibri" w:eastAsia="Times New Roman" w:hAnsi="Calibri" w:cs="Calibri"/>
                <w:color w:val="404040"/>
                <w:sz w:val="24"/>
                <w:szCs w:val="24"/>
              </w:rPr>
            </w:pPr>
            <w:r w:rsidRPr="00456F4A">
              <w:rPr>
                <w:rFonts w:ascii="Calibri" w:eastAsia="Times New Roman" w:hAnsi="Calibri" w:cs="Calibri"/>
                <w:color w:val="404040"/>
                <w:sz w:val="24"/>
                <w:szCs w:val="24"/>
              </w:rPr>
              <w:t>2</w:t>
            </w:r>
          </w:p>
        </w:tc>
        <w:tc>
          <w:tcPr>
            <w:tcW w:w="369" w:type="dxa"/>
            <w:tcBorders>
              <w:top w:val="nil"/>
              <w:left w:val="nil"/>
              <w:bottom w:val="single" w:sz="4" w:space="0" w:color="FFFFFF"/>
              <w:right w:val="nil"/>
            </w:tcBorders>
            <w:shd w:val="clear" w:color="000000" w:fill="FFFFFF"/>
            <w:noWrap/>
            <w:vAlign w:val="bottom"/>
            <w:hideMark/>
          </w:tcPr>
          <w:p w14:paraId="15807A94" w14:textId="77777777" w:rsidR="00456F4A" w:rsidRPr="00456F4A" w:rsidRDefault="00456F4A" w:rsidP="00456F4A">
            <w:pPr>
              <w:spacing w:after="0" w:line="240" w:lineRule="auto"/>
              <w:jc w:val="center"/>
              <w:rPr>
                <w:rFonts w:ascii="Calibri" w:eastAsia="Times New Roman" w:hAnsi="Calibri" w:cs="Calibri"/>
                <w:color w:val="404040"/>
                <w:sz w:val="24"/>
                <w:szCs w:val="24"/>
              </w:rPr>
            </w:pPr>
          </w:p>
        </w:tc>
        <w:tc>
          <w:tcPr>
            <w:tcW w:w="484" w:type="dxa"/>
            <w:tcBorders>
              <w:top w:val="nil"/>
              <w:left w:val="nil"/>
              <w:bottom w:val="single" w:sz="4" w:space="0" w:color="FFFFFF"/>
              <w:right w:val="single" w:sz="4" w:space="0" w:color="auto"/>
            </w:tcBorders>
            <w:shd w:val="clear" w:color="000000" w:fill="F2F2F2"/>
            <w:noWrap/>
            <w:vAlign w:val="bottom"/>
            <w:hideMark/>
          </w:tcPr>
          <w:p w14:paraId="7CEB4EBD"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6A3893BB"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17885C81"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65518618"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039240A2"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1CC62846"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7903B95A"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1EEAAD2E"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thinDiagStripe" w:color="735773" w:fill="auto"/>
            <w:noWrap/>
            <w:vAlign w:val="bottom"/>
            <w:hideMark/>
          </w:tcPr>
          <w:p w14:paraId="2C027E60"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thinDiagStripe" w:color="735773" w:fill="auto"/>
            <w:noWrap/>
            <w:vAlign w:val="bottom"/>
            <w:hideMark/>
          </w:tcPr>
          <w:p w14:paraId="76B6F958"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6488A851"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single" w:sz="4" w:space="0" w:color="FFFFFF"/>
              <w:right w:val="single" w:sz="4" w:space="0" w:color="auto"/>
            </w:tcBorders>
            <w:shd w:val="clear" w:color="000000" w:fill="FFFFFF"/>
            <w:noWrap/>
            <w:vAlign w:val="bottom"/>
            <w:hideMark/>
          </w:tcPr>
          <w:p w14:paraId="69AE154C"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r>
      <w:tr w:rsidR="00456F4A" w:rsidRPr="00456F4A" w14:paraId="223CF554" w14:textId="77777777" w:rsidTr="007E001D">
        <w:trPr>
          <w:trHeight w:val="855"/>
        </w:trPr>
        <w:tc>
          <w:tcPr>
            <w:tcW w:w="2155" w:type="dxa"/>
            <w:tcBorders>
              <w:top w:val="nil"/>
              <w:left w:val="single" w:sz="4" w:space="0" w:color="auto"/>
              <w:bottom w:val="nil"/>
              <w:right w:val="nil"/>
            </w:tcBorders>
            <w:shd w:val="clear" w:color="auto" w:fill="auto"/>
            <w:vAlign w:val="center"/>
            <w:hideMark/>
          </w:tcPr>
          <w:p w14:paraId="39F267DE" w14:textId="77777777" w:rsidR="00456F4A" w:rsidRPr="00456F4A" w:rsidRDefault="00456F4A" w:rsidP="00456F4A">
            <w:pPr>
              <w:spacing w:after="0" w:line="240" w:lineRule="auto"/>
              <w:rPr>
                <w:rFonts w:ascii="Calibri" w:eastAsia="Times New Roman" w:hAnsi="Calibri" w:cs="Calibri"/>
                <w:b/>
                <w:bCs/>
                <w:color w:val="404040"/>
                <w:sz w:val="26"/>
                <w:szCs w:val="26"/>
              </w:rPr>
            </w:pPr>
            <w:r w:rsidRPr="00456F4A">
              <w:rPr>
                <w:rFonts w:ascii="Calibri" w:eastAsia="Times New Roman" w:hAnsi="Calibri" w:cs="Calibri"/>
                <w:b/>
                <w:bCs/>
                <w:color w:val="404040"/>
                <w:sz w:val="26"/>
                <w:szCs w:val="26"/>
              </w:rPr>
              <w:t>Season 3 data collection</w:t>
            </w:r>
          </w:p>
        </w:tc>
        <w:tc>
          <w:tcPr>
            <w:tcW w:w="1217" w:type="dxa"/>
            <w:tcBorders>
              <w:top w:val="nil"/>
              <w:left w:val="nil"/>
              <w:bottom w:val="nil"/>
              <w:right w:val="nil"/>
            </w:tcBorders>
            <w:shd w:val="clear" w:color="auto" w:fill="auto"/>
            <w:noWrap/>
            <w:vAlign w:val="bottom"/>
            <w:hideMark/>
          </w:tcPr>
          <w:p w14:paraId="2079002E" w14:textId="77777777" w:rsidR="00456F4A" w:rsidRPr="00456F4A" w:rsidRDefault="00456F4A" w:rsidP="00456F4A">
            <w:pPr>
              <w:spacing w:after="0" w:line="240" w:lineRule="auto"/>
              <w:jc w:val="center"/>
              <w:rPr>
                <w:rFonts w:ascii="Calibri" w:eastAsia="Times New Roman" w:hAnsi="Calibri" w:cs="Calibri"/>
                <w:color w:val="404040"/>
                <w:sz w:val="24"/>
                <w:szCs w:val="24"/>
              </w:rPr>
            </w:pPr>
            <w:r w:rsidRPr="00456F4A">
              <w:rPr>
                <w:rFonts w:ascii="Calibri" w:eastAsia="Times New Roman" w:hAnsi="Calibri" w:cs="Calibri"/>
                <w:color w:val="404040"/>
                <w:sz w:val="24"/>
                <w:szCs w:val="24"/>
              </w:rPr>
              <w:t>2</w:t>
            </w:r>
          </w:p>
        </w:tc>
        <w:tc>
          <w:tcPr>
            <w:tcW w:w="369" w:type="dxa"/>
            <w:tcBorders>
              <w:top w:val="nil"/>
              <w:left w:val="nil"/>
              <w:bottom w:val="single" w:sz="4" w:space="0" w:color="FFFFFF"/>
              <w:right w:val="nil"/>
            </w:tcBorders>
            <w:shd w:val="clear" w:color="000000" w:fill="FFFFFF"/>
            <w:noWrap/>
            <w:vAlign w:val="bottom"/>
            <w:hideMark/>
          </w:tcPr>
          <w:p w14:paraId="5D08B2EF" w14:textId="77777777" w:rsidR="00456F4A" w:rsidRPr="00456F4A" w:rsidRDefault="00456F4A" w:rsidP="00456F4A">
            <w:pPr>
              <w:spacing w:after="0" w:line="240" w:lineRule="auto"/>
              <w:jc w:val="center"/>
              <w:rPr>
                <w:rFonts w:ascii="Calibri" w:eastAsia="Times New Roman" w:hAnsi="Calibri" w:cs="Calibri"/>
                <w:color w:val="404040"/>
                <w:sz w:val="24"/>
                <w:szCs w:val="24"/>
              </w:rPr>
            </w:pPr>
          </w:p>
        </w:tc>
        <w:tc>
          <w:tcPr>
            <w:tcW w:w="484" w:type="dxa"/>
            <w:tcBorders>
              <w:top w:val="nil"/>
              <w:left w:val="nil"/>
              <w:bottom w:val="single" w:sz="4" w:space="0" w:color="FFFFFF"/>
              <w:right w:val="single" w:sz="4" w:space="0" w:color="auto"/>
            </w:tcBorders>
            <w:shd w:val="clear" w:color="000000" w:fill="F2F2F2"/>
            <w:noWrap/>
            <w:vAlign w:val="bottom"/>
            <w:hideMark/>
          </w:tcPr>
          <w:p w14:paraId="31C56CF1"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7DF12586"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27398CED"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65E034B1"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655246E9"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207745F8"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1AC3EF19"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69B847CE"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5DA78CBD"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7FCF25DE"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thinDiagStripe" w:color="735773" w:fill="auto"/>
            <w:noWrap/>
            <w:vAlign w:val="bottom"/>
            <w:hideMark/>
          </w:tcPr>
          <w:p w14:paraId="48ECB57A"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single" w:sz="4" w:space="0" w:color="FFFFFF"/>
              <w:right w:val="single" w:sz="4" w:space="0" w:color="auto"/>
            </w:tcBorders>
            <w:shd w:val="thinDiagStripe" w:color="735773" w:fill="auto"/>
            <w:noWrap/>
            <w:vAlign w:val="bottom"/>
            <w:hideMark/>
          </w:tcPr>
          <w:p w14:paraId="3BFADEAA"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r>
      <w:tr w:rsidR="00456F4A" w:rsidRPr="00456F4A" w14:paraId="63073593" w14:textId="77777777" w:rsidTr="007E001D">
        <w:trPr>
          <w:trHeight w:val="855"/>
        </w:trPr>
        <w:tc>
          <w:tcPr>
            <w:tcW w:w="2155" w:type="dxa"/>
            <w:tcBorders>
              <w:top w:val="nil"/>
              <w:left w:val="single" w:sz="4" w:space="0" w:color="auto"/>
              <w:bottom w:val="nil"/>
              <w:right w:val="nil"/>
            </w:tcBorders>
            <w:shd w:val="clear" w:color="auto" w:fill="auto"/>
            <w:vAlign w:val="center"/>
            <w:hideMark/>
          </w:tcPr>
          <w:p w14:paraId="179C5BA1" w14:textId="77777777" w:rsidR="00456F4A" w:rsidRPr="00456F4A" w:rsidRDefault="00456F4A" w:rsidP="00456F4A">
            <w:pPr>
              <w:spacing w:after="0" w:line="240" w:lineRule="auto"/>
              <w:rPr>
                <w:rFonts w:ascii="Calibri" w:eastAsia="Times New Roman" w:hAnsi="Calibri" w:cs="Calibri"/>
                <w:b/>
                <w:bCs/>
                <w:color w:val="404040"/>
                <w:sz w:val="26"/>
                <w:szCs w:val="26"/>
              </w:rPr>
            </w:pPr>
            <w:r w:rsidRPr="00456F4A">
              <w:rPr>
                <w:rFonts w:ascii="Calibri" w:eastAsia="Times New Roman" w:hAnsi="Calibri" w:cs="Calibri"/>
                <w:b/>
                <w:bCs/>
                <w:color w:val="404040"/>
                <w:sz w:val="26"/>
                <w:szCs w:val="26"/>
              </w:rPr>
              <w:t xml:space="preserve">Final report </w:t>
            </w:r>
          </w:p>
        </w:tc>
        <w:tc>
          <w:tcPr>
            <w:tcW w:w="1217" w:type="dxa"/>
            <w:tcBorders>
              <w:top w:val="nil"/>
              <w:left w:val="nil"/>
              <w:bottom w:val="nil"/>
              <w:right w:val="nil"/>
            </w:tcBorders>
            <w:shd w:val="clear" w:color="auto" w:fill="auto"/>
            <w:noWrap/>
            <w:vAlign w:val="bottom"/>
            <w:hideMark/>
          </w:tcPr>
          <w:p w14:paraId="4D7AC808" w14:textId="77777777" w:rsidR="00456F4A" w:rsidRPr="00456F4A" w:rsidRDefault="00456F4A" w:rsidP="00456F4A">
            <w:pPr>
              <w:spacing w:after="0" w:line="240" w:lineRule="auto"/>
              <w:jc w:val="center"/>
              <w:rPr>
                <w:rFonts w:ascii="Calibri" w:eastAsia="Times New Roman" w:hAnsi="Calibri" w:cs="Calibri"/>
                <w:color w:val="404040"/>
                <w:sz w:val="24"/>
                <w:szCs w:val="24"/>
              </w:rPr>
            </w:pPr>
            <w:r w:rsidRPr="00456F4A">
              <w:rPr>
                <w:rFonts w:ascii="Calibri" w:eastAsia="Times New Roman" w:hAnsi="Calibri" w:cs="Calibri"/>
                <w:color w:val="404040"/>
                <w:sz w:val="24"/>
                <w:szCs w:val="24"/>
              </w:rPr>
              <w:t>2</w:t>
            </w:r>
          </w:p>
        </w:tc>
        <w:tc>
          <w:tcPr>
            <w:tcW w:w="369" w:type="dxa"/>
            <w:tcBorders>
              <w:top w:val="nil"/>
              <w:left w:val="nil"/>
              <w:bottom w:val="single" w:sz="4" w:space="0" w:color="FFFFFF"/>
              <w:right w:val="nil"/>
            </w:tcBorders>
            <w:shd w:val="clear" w:color="000000" w:fill="FFFFFF"/>
            <w:noWrap/>
            <w:vAlign w:val="bottom"/>
            <w:hideMark/>
          </w:tcPr>
          <w:p w14:paraId="7A58AF92" w14:textId="77777777" w:rsidR="00456F4A" w:rsidRPr="00456F4A" w:rsidRDefault="00456F4A" w:rsidP="00456F4A">
            <w:pPr>
              <w:spacing w:after="0" w:line="240" w:lineRule="auto"/>
              <w:jc w:val="center"/>
              <w:rPr>
                <w:rFonts w:ascii="Calibri" w:eastAsia="Times New Roman" w:hAnsi="Calibri" w:cs="Calibri"/>
                <w:color w:val="404040"/>
                <w:sz w:val="24"/>
                <w:szCs w:val="24"/>
              </w:rPr>
            </w:pPr>
          </w:p>
        </w:tc>
        <w:tc>
          <w:tcPr>
            <w:tcW w:w="484" w:type="dxa"/>
            <w:tcBorders>
              <w:top w:val="nil"/>
              <w:left w:val="nil"/>
              <w:bottom w:val="single" w:sz="4" w:space="0" w:color="FFFFFF"/>
              <w:right w:val="single" w:sz="4" w:space="0" w:color="auto"/>
            </w:tcBorders>
            <w:shd w:val="clear" w:color="000000" w:fill="F2F2F2"/>
            <w:noWrap/>
            <w:vAlign w:val="bottom"/>
            <w:hideMark/>
          </w:tcPr>
          <w:p w14:paraId="37547DFC"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3F71EF75"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10FC3D37"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37C51510"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1EC5D57D"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269BEB9C"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46AA9949"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19C768A7"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12068E0F"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2084A28D"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thinDiagStripe" w:color="735773" w:fill="auto"/>
            <w:noWrap/>
            <w:vAlign w:val="bottom"/>
            <w:hideMark/>
          </w:tcPr>
          <w:p w14:paraId="1B5CD18B"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single" w:sz="4" w:space="0" w:color="FFFFFF"/>
              <w:right w:val="single" w:sz="4" w:space="0" w:color="auto"/>
            </w:tcBorders>
            <w:shd w:val="thinDiagStripe" w:color="735773" w:fill="auto"/>
            <w:noWrap/>
            <w:vAlign w:val="bottom"/>
            <w:hideMark/>
          </w:tcPr>
          <w:p w14:paraId="52DF7E90"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r>
      <w:tr w:rsidR="00456F4A" w:rsidRPr="00456F4A" w14:paraId="2204129B" w14:textId="77777777" w:rsidTr="007E001D">
        <w:trPr>
          <w:trHeight w:val="855"/>
        </w:trPr>
        <w:tc>
          <w:tcPr>
            <w:tcW w:w="2155" w:type="dxa"/>
            <w:tcBorders>
              <w:top w:val="nil"/>
              <w:left w:val="single" w:sz="4" w:space="0" w:color="auto"/>
              <w:bottom w:val="nil"/>
              <w:right w:val="nil"/>
            </w:tcBorders>
            <w:shd w:val="clear" w:color="auto" w:fill="auto"/>
            <w:vAlign w:val="center"/>
            <w:hideMark/>
          </w:tcPr>
          <w:p w14:paraId="269F2B62" w14:textId="77777777" w:rsidR="00456F4A" w:rsidRPr="00456F4A" w:rsidRDefault="00456F4A" w:rsidP="00456F4A">
            <w:pPr>
              <w:spacing w:after="0" w:line="240" w:lineRule="auto"/>
              <w:rPr>
                <w:rFonts w:ascii="Calibri" w:eastAsia="Times New Roman" w:hAnsi="Calibri" w:cs="Calibri"/>
                <w:b/>
                <w:bCs/>
                <w:color w:val="404040"/>
                <w:sz w:val="26"/>
                <w:szCs w:val="26"/>
              </w:rPr>
            </w:pPr>
            <w:r w:rsidRPr="00456F4A">
              <w:rPr>
                <w:rFonts w:ascii="Calibri" w:eastAsia="Times New Roman" w:hAnsi="Calibri" w:cs="Calibri"/>
                <w:b/>
                <w:bCs/>
                <w:color w:val="404040"/>
                <w:sz w:val="26"/>
                <w:szCs w:val="26"/>
              </w:rPr>
              <w:t>Outreach to extend research outcomes</w:t>
            </w:r>
          </w:p>
        </w:tc>
        <w:tc>
          <w:tcPr>
            <w:tcW w:w="1217" w:type="dxa"/>
            <w:tcBorders>
              <w:top w:val="nil"/>
              <w:left w:val="nil"/>
              <w:bottom w:val="nil"/>
              <w:right w:val="nil"/>
            </w:tcBorders>
            <w:shd w:val="clear" w:color="auto" w:fill="auto"/>
            <w:noWrap/>
            <w:vAlign w:val="bottom"/>
            <w:hideMark/>
          </w:tcPr>
          <w:p w14:paraId="74DEAC36" w14:textId="77777777" w:rsidR="00456F4A" w:rsidRPr="00456F4A" w:rsidRDefault="00456F4A" w:rsidP="00456F4A">
            <w:pPr>
              <w:spacing w:after="0" w:line="240" w:lineRule="auto"/>
              <w:jc w:val="center"/>
              <w:rPr>
                <w:rFonts w:ascii="Calibri" w:eastAsia="Times New Roman" w:hAnsi="Calibri" w:cs="Calibri"/>
                <w:color w:val="404040"/>
                <w:sz w:val="24"/>
                <w:szCs w:val="24"/>
              </w:rPr>
            </w:pPr>
            <w:r w:rsidRPr="00456F4A">
              <w:rPr>
                <w:rFonts w:ascii="Calibri" w:eastAsia="Times New Roman" w:hAnsi="Calibri" w:cs="Calibri"/>
                <w:color w:val="404040"/>
                <w:sz w:val="24"/>
                <w:szCs w:val="24"/>
              </w:rPr>
              <w:t>3</w:t>
            </w:r>
          </w:p>
        </w:tc>
        <w:tc>
          <w:tcPr>
            <w:tcW w:w="369" w:type="dxa"/>
            <w:tcBorders>
              <w:top w:val="nil"/>
              <w:left w:val="nil"/>
              <w:bottom w:val="single" w:sz="4" w:space="0" w:color="FFFFFF"/>
              <w:right w:val="nil"/>
            </w:tcBorders>
            <w:shd w:val="clear" w:color="000000" w:fill="FFFFFF"/>
            <w:noWrap/>
            <w:vAlign w:val="bottom"/>
            <w:hideMark/>
          </w:tcPr>
          <w:p w14:paraId="1D818F8D" w14:textId="77777777" w:rsidR="00456F4A" w:rsidRPr="00456F4A" w:rsidRDefault="00456F4A" w:rsidP="00456F4A">
            <w:pPr>
              <w:spacing w:after="0" w:line="240" w:lineRule="auto"/>
              <w:jc w:val="center"/>
              <w:rPr>
                <w:rFonts w:ascii="Calibri" w:eastAsia="Times New Roman" w:hAnsi="Calibri" w:cs="Calibri"/>
                <w:color w:val="404040"/>
                <w:sz w:val="24"/>
                <w:szCs w:val="24"/>
              </w:rPr>
            </w:pPr>
          </w:p>
        </w:tc>
        <w:tc>
          <w:tcPr>
            <w:tcW w:w="484" w:type="dxa"/>
            <w:tcBorders>
              <w:top w:val="nil"/>
              <w:left w:val="nil"/>
              <w:bottom w:val="single" w:sz="4" w:space="0" w:color="FFFFFF"/>
              <w:right w:val="single" w:sz="4" w:space="0" w:color="auto"/>
            </w:tcBorders>
            <w:shd w:val="clear" w:color="000000" w:fill="F2F2F2"/>
            <w:noWrap/>
            <w:vAlign w:val="bottom"/>
            <w:hideMark/>
          </w:tcPr>
          <w:p w14:paraId="0E6CD87C"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00B9D2BC"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73D626EC"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79A02784"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clear" w:color="000000" w:fill="F2F2F2"/>
            <w:noWrap/>
            <w:vAlign w:val="bottom"/>
            <w:hideMark/>
          </w:tcPr>
          <w:p w14:paraId="1018DB08"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249780EC"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clear" w:color="000000" w:fill="F2F2F2"/>
            <w:noWrap/>
            <w:vAlign w:val="bottom"/>
            <w:hideMark/>
          </w:tcPr>
          <w:p w14:paraId="6339AE5B"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491" w:type="dxa"/>
            <w:tcBorders>
              <w:top w:val="nil"/>
              <w:left w:val="nil"/>
              <w:bottom w:val="single" w:sz="4" w:space="0" w:color="FFFFFF"/>
              <w:right w:val="nil"/>
            </w:tcBorders>
            <w:shd w:val="clear" w:color="000000" w:fill="FFFFFF"/>
            <w:noWrap/>
            <w:vAlign w:val="bottom"/>
            <w:hideMark/>
          </w:tcPr>
          <w:p w14:paraId="36E2C3FB"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0" w:type="dxa"/>
            <w:tcBorders>
              <w:top w:val="nil"/>
              <w:left w:val="nil"/>
              <w:bottom w:val="single" w:sz="4" w:space="0" w:color="FFFFFF"/>
              <w:right w:val="single" w:sz="4" w:space="0" w:color="auto"/>
            </w:tcBorders>
            <w:shd w:val="thinDiagStripe" w:color="735773" w:fill="auto"/>
            <w:noWrap/>
            <w:vAlign w:val="bottom"/>
            <w:hideMark/>
          </w:tcPr>
          <w:p w14:paraId="348555BE"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thinDiagStripe" w:color="735773" w:fill="auto"/>
            <w:noWrap/>
            <w:vAlign w:val="bottom"/>
            <w:hideMark/>
          </w:tcPr>
          <w:p w14:paraId="7A372087" w14:textId="77777777" w:rsidR="00456F4A" w:rsidRPr="00456F4A" w:rsidRDefault="00456F4A" w:rsidP="00456F4A">
            <w:pPr>
              <w:spacing w:after="0" w:line="240" w:lineRule="auto"/>
              <w:jc w:val="center"/>
              <w:rPr>
                <w:rFonts w:ascii="Corbel" w:eastAsia="Times New Roman" w:hAnsi="Corbel" w:cs="Times New Roman"/>
                <w:color w:val="404040"/>
              </w:rPr>
            </w:pPr>
          </w:p>
        </w:tc>
        <w:tc>
          <w:tcPr>
            <w:tcW w:w="659" w:type="dxa"/>
            <w:tcBorders>
              <w:top w:val="nil"/>
              <w:left w:val="nil"/>
              <w:bottom w:val="single" w:sz="4" w:space="0" w:color="FFFFFF"/>
              <w:right w:val="nil"/>
            </w:tcBorders>
            <w:shd w:val="thinDiagStripe" w:color="735773" w:fill="auto"/>
            <w:noWrap/>
            <w:vAlign w:val="bottom"/>
            <w:hideMark/>
          </w:tcPr>
          <w:p w14:paraId="2FE7D853" w14:textId="77777777" w:rsidR="00456F4A" w:rsidRPr="00456F4A" w:rsidRDefault="00456F4A" w:rsidP="00456F4A">
            <w:pPr>
              <w:spacing w:after="0" w:line="240" w:lineRule="auto"/>
              <w:jc w:val="center"/>
              <w:rPr>
                <w:rFonts w:ascii="Times New Roman" w:eastAsia="Times New Roman" w:hAnsi="Times New Roman" w:cs="Times New Roman"/>
                <w:sz w:val="20"/>
                <w:szCs w:val="20"/>
              </w:rPr>
            </w:pPr>
          </w:p>
        </w:tc>
        <w:tc>
          <w:tcPr>
            <w:tcW w:w="502" w:type="dxa"/>
            <w:tcBorders>
              <w:top w:val="nil"/>
              <w:left w:val="nil"/>
              <w:bottom w:val="single" w:sz="4" w:space="0" w:color="FFFFFF"/>
              <w:right w:val="single" w:sz="4" w:space="0" w:color="auto"/>
            </w:tcBorders>
            <w:shd w:val="clear" w:color="000000" w:fill="FFFFFF"/>
            <w:noWrap/>
            <w:vAlign w:val="bottom"/>
            <w:hideMark/>
          </w:tcPr>
          <w:p w14:paraId="6C62B69A"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r>
      <w:tr w:rsidR="00456F4A" w:rsidRPr="00456F4A" w14:paraId="27C5D538" w14:textId="77777777" w:rsidTr="007E001D">
        <w:trPr>
          <w:trHeight w:val="855"/>
        </w:trPr>
        <w:tc>
          <w:tcPr>
            <w:tcW w:w="2155" w:type="dxa"/>
            <w:tcBorders>
              <w:top w:val="nil"/>
              <w:left w:val="single" w:sz="4" w:space="0" w:color="auto"/>
              <w:bottom w:val="single" w:sz="4" w:space="0" w:color="auto"/>
              <w:right w:val="nil"/>
            </w:tcBorders>
            <w:shd w:val="clear" w:color="auto" w:fill="auto"/>
            <w:vAlign w:val="center"/>
            <w:hideMark/>
          </w:tcPr>
          <w:p w14:paraId="114A8413" w14:textId="77777777" w:rsidR="00456F4A" w:rsidRPr="00456F4A" w:rsidRDefault="00456F4A" w:rsidP="00456F4A">
            <w:pPr>
              <w:spacing w:after="0" w:line="240" w:lineRule="auto"/>
              <w:rPr>
                <w:rFonts w:ascii="Calibri" w:eastAsia="Times New Roman" w:hAnsi="Calibri" w:cs="Calibri"/>
                <w:b/>
                <w:bCs/>
                <w:color w:val="404040"/>
                <w:sz w:val="26"/>
                <w:szCs w:val="26"/>
              </w:rPr>
            </w:pPr>
            <w:r w:rsidRPr="00456F4A">
              <w:rPr>
                <w:rFonts w:ascii="Calibri" w:eastAsia="Times New Roman" w:hAnsi="Calibri" w:cs="Calibri"/>
                <w:b/>
                <w:bCs/>
                <w:color w:val="404040"/>
                <w:sz w:val="26"/>
                <w:szCs w:val="26"/>
              </w:rPr>
              <w:t>Write and publish related papers</w:t>
            </w:r>
          </w:p>
        </w:tc>
        <w:tc>
          <w:tcPr>
            <w:tcW w:w="1217" w:type="dxa"/>
            <w:tcBorders>
              <w:top w:val="nil"/>
              <w:left w:val="nil"/>
              <w:bottom w:val="single" w:sz="4" w:space="0" w:color="auto"/>
              <w:right w:val="nil"/>
            </w:tcBorders>
            <w:shd w:val="clear" w:color="auto" w:fill="auto"/>
            <w:noWrap/>
            <w:vAlign w:val="bottom"/>
            <w:hideMark/>
          </w:tcPr>
          <w:p w14:paraId="54CED4C2" w14:textId="77777777" w:rsidR="00456F4A" w:rsidRPr="00456F4A" w:rsidRDefault="00456F4A" w:rsidP="00456F4A">
            <w:pPr>
              <w:spacing w:after="0" w:line="240" w:lineRule="auto"/>
              <w:jc w:val="center"/>
              <w:rPr>
                <w:rFonts w:ascii="Calibri" w:eastAsia="Times New Roman" w:hAnsi="Calibri" w:cs="Calibri"/>
                <w:color w:val="404040"/>
                <w:sz w:val="24"/>
                <w:szCs w:val="24"/>
              </w:rPr>
            </w:pPr>
            <w:r w:rsidRPr="00456F4A">
              <w:rPr>
                <w:rFonts w:ascii="Calibri" w:eastAsia="Times New Roman" w:hAnsi="Calibri" w:cs="Calibri"/>
                <w:color w:val="404040"/>
                <w:sz w:val="24"/>
                <w:szCs w:val="24"/>
              </w:rPr>
              <w:t>6</w:t>
            </w:r>
          </w:p>
        </w:tc>
        <w:tc>
          <w:tcPr>
            <w:tcW w:w="369" w:type="dxa"/>
            <w:tcBorders>
              <w:top w:val="nil"/>
              <w:left w:val="nil"/>
              <w:bottom w:val="single" w:sz="4" w:space="0" w:color="FFFFFF"/>
              <w:right w:val="nil"/>
            </w:tcBorders>
            <w:shd w:val="clear" w:color="000000" w:fill="FFFFFF"/>
            <w:noWrap/>
            <w:vAlign w:val="bottom"/>
            <w:hideMark/>
          </w:tcPr>
          <w:p w14:paraId="1DC4FBDB"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84" w:type="dxa"/>
            <w:tcBorders>
              <w:top w:val="nil"/>
              <w:left w:val="nil"/>
              <w:bottom w:val="single" w:sz="4" w:space="0" w:color="FFFFFF"/>
              <w:right w:val="single" w:sz="4" w:space="0" w:color="auto"/>
            </w:tcBorders>
            <w:shd w:val="clear" w:color="000000" w:fill="F2F2F2"/>
            <w:noWrap/>
            <w:vAlign w:val="bottom"/>
            <w:hideMark/>
          </w:tcPr>
          <w:p w14:paraId="28FED12F"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52ABBCA2"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659" w:type="dxa"/>
            <w:tcBorders>
              <w:top w:val="nil"/>
              <w:left w:val="nil"/>
              <w:bottom w:val="single" w:sz="4" w:space="0" w:color="FFFFFF"/>
              <w:right w:val="nil"/>
            </w:tcBorders>
            <w:shd w:val="clear" w:color="000000" w:fill="F2F2F2"/>
            <w:noWrap/>
            <w:vAlign w:val="bottom"/>
            <w:hideMark/>
          </w:tcPr>
          <w:p w14:paraId="21707469"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1" w:type="dxa"/>
            <w:tcBorders>
              <w:top w:val="nil"/>
              <w:left w:val="nil"/>
              <w:bottom w:val="single" w:sz="4" w:space="0" w:color="FFFFFF"/>
              <w:right w:val="nil"/>
            </w:tcBorders>
            <w:shd w:val="clear" w:color="000000" w:fill="FFFFFF"/>
            <w:noWrap/>
            <w:vAlign w:val="bottom"/>
            <w:hideMark/>
          </w:tcPr>
          <w:p w14:paraId="722EA6A6"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500" w:type="dxa"/>
            <w:tcBorders>
              <w:top w:val="nil"/>
              <w:left w:val="nil"/>
              <w:bottom w:val="single" w:sz="4" w:space="0" w:color="FFFFFF"/>
              <w:right w:val="single" w:sz="4" w:space="0" w:color="auto"/>
            </w:tcBorders>
            <w:shd w:val="clear" w:color="000000" w:fill="F2F2F2"/>
            <w:noWrap/>
            <w:vAlign w:val="bottom"/>
            <w:hideMark/>
          </w:tcPr>
          <w:p w14:paraId="02BC2B97"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clear" w:color="000000" w:fill="FFFFFF"/>
            <w:noWrap/>
            <w:vAlign w:val="bottom"/>
            <w:hideMark/>
          </w:tcPr>
          <w:p w14:paraId="07E0E7F2"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659" w:type="dxa"/>
            <w:tcBorders>
              <w:top w:val="nil"/>
              <w:left w:val="nil"/>
              <w:bottom w:val="single" w:sz="4" w:space="0" w:color="FFFFFF"/>
              <w:right w:val="nil"/>
            </w:tcBorders>
            <w:shd w:val="clear" w:color="000000" w:fill="F2F2F2"/>
            <w:noWrap/>
            <w:vAlign w:val="bottom"/>
            <w:hideMark/>
          </w:tcPr>
          <w:p w14:paraId="5A2EE936"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1" w:type="dxa"/>
            <w:tcBorders>
              <w:top w:val="nil"/>
              <w:left w:val="nil"/>
              <w:bottom w:val="single" w:sz="4" w:space="0" w:color="FFFFFF"/>
              <w:right w:val="nil"/>
            </w:tcBorders>
            <w:shd w:val="clear" w:color="000000" w:fill="FFFFFF"/>
            <w:noWrap/>
            <w:vAlign w:val="bottom"/>
            <w:hideMark/>
          </w:tcPr>
          <w:p w14:paraId="54B59339"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500" w:type="dxa"/>
            <w:tcBorders>
              <w:top w:val="nil"/>
              <w:left w:val="nil"/>
              <w:bottom w:val="single" w:sz="4" w:space="0" w:color="FFFFFF"/>
              <w:right w:val="single" w:sz="4" w:space="0" w:color="auto"/>
            </w:tcBorders>
            <w:shd w:val="thinDiagStripe" w:color="735773" w:fill="auto"/>
            <w:noWrap/>
            <w:vAlign w:val="bottom"/>
            <w:hideMark/>
          </w:tcPr>
          <w:p w14:paraId="54DDE1B9"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493" w:type="dxa"/>
            <w:tcBorders>
              <w:top w:val="nil"/>
              <w:left w:val="nil"/>
              <w:bottom w:val="single" w:sz="4" w:space="0" w:color="FFFFFF"/>
              <w:right w:val="nil"/>
            </w:tcBorders>
            <w:shd w:val="thinDiagStripe" w:color="735773" w:fill="auto"/>
            <w:noWrap/>
            <w:vAlign w:val="bottom"/>
            <w:hideMark/>
          </w:tcPr>
          <w:p w14:paraId="5F296540"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659" w:type="dxa"/>
            <w:tcBorders>
              <w:top w:val="nil"/>
              <w:left w:val="nil"/>
              <w:bottom w:val="single" w:sz="4" w:space="0" w:color="FFFFFF"/>
              <w:right w:val="nil"/>
            </w:tcBorders>
            <w:shd w:val="thinDiagStripe" w:color="735773" w:fill="auto"/>
            <w:noWrap/>
            <w:vAlign w:val="bottom"/>
            <w:hideMark/>
          </w:tcPr>
          <w:p w14:paraId="521E296E"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c>
          <w:tcPr>
            <w:tcW w:w="502" w:type="dxa"/>
            <w:tcBorders>
              <w:top w:val="nil"/>
              <w:left w:val="nil"/>
              <w:bottom w:val="single" w:sz="4" w:space="0" w:color="FFFFFF"/>
              <w:right w:val="single" w:sz="4" w:space="0" w:color="auto"/>
            </w:tcBorders>
            <w:shd w:val="thinDiagStripe" w:color="735773" w:fill="auto"/>
            <w:noWrap/>
            <w:vAlign w:val="bottom"/>
            <w:hideMark/>
          </w:tcPr>
          <w:p w14:paraId="6A28515A" w14:textId="77777777" w:rsidR="00456F4A" w:rsidRPr="00456F4A" w:rsidRDefault="00456F4A" w:rsidP="00456F4A">
            <w:pPr>
              <w:spacing w:after="0" w:line="240" w:lineRule="auto"/>
              <w:jc w:val="center"/>
              <w:rPr>
                <w:rFonts w:ascii="Corbel" w:eastAsia="Times New Roman" w:hAnsi="Corbel" w:cs="Times New Roman"/>
                <w:color w:val="404040"/>
              </w:rPr>
            </w:pPr>
            <w:r w:rsidRPr="00456F4A">
              <w:rPr>
                <w:rFonts w:ascii="Corbel" w:eastAsia="Times New Roman" w:hAnsi="Corbel" w:cs="Times New Roman"/>
                <w:color w:val="404040"/>
              </w:rPr>
              <w:t> </w:t>
            </w:r>
          </w:p>
        </w:tc>
      </w:tr>
    </w:tbl>
    <w:p w14:paraId="57D8208D" w14:textId="77777777" w:rsidR="007E001D" w:rsidRPr="000D5722" w:rsidRDefault="007E001D" w:rsidP="007E001D"/>
    <w:p w14:paraId="19659D89" w14:textId="4C3D3E85" w:rsidR="007E001D" w:rsidRDefault="007E001D" w:rsidP="007E001D">
      <w:pPr>
        <w:pStyle w:val="Heading1"/>
        <w:spacing w:before="161" w:beforeAutospacing="0" w:after="161" w:afterAutospacing="0"/>
        <w:rPr>
          <w:rFonts w:ascii="Arial" w:eastAsia="Times New Roman" w:hAnsi="Arial" w:cs="Arial"/>
          <w:b w:val="0"/>
          <w:bCs w:val="0"/>
          <w:color w:val="4B4441"/>
        </w:rPr>
      </w:pPr>
      <w:r w:rsidRPr="000D5722">
        <w:rPr>
          <w:rFonts w:ascii="Arial" w:eastAsia="Times New Roman" w:hAnsi="Arial" w:cs="Arial"/>
          <w:b w:val="0"/>
          <w:bCs w:val="0"/>
          <w:color w:val="4B4441"/>
        </w:rPr>
        <w:t>Outreach Plan</w:t>
      </w:r>
    </w:p>
    <w:p w14:paraId="64944D41" w14:textId="339E284D" w:rsidR="007E001D" w:rsidRPr="007E001D" w:rsidRDefault="007E001D" w:rsidP="007E001D">
      <w:pPr>
        <w:pStyle w:val="Heading1"/>
        <w:spacing w:before="161" w:beforeAutospacing="0" w:after="161" w:afterAutospacing="0"/>
        <w:rPr>
          <w:rFonts w:ascii="Arial" w:eastAsia="Times New Roman" w:hAnsi="Arial" w:cs="Arial"/>
          <w:b w:val="0"/>
          <w:bCs w:val="0"/>
          <w:color w:val="808080" w:themeColor="background1" w:themeShade="80"/>
        </w:rPr>
      </w:pPr>
      <w:r w:rsidRPr="007E001D">
        <w:rPr>
          <w:rFonts w:ascii="Open Sans" w:hAnsi="Open Sans" w:cs="Open Sans"/>
          <w:color w:val="808080" w:themeColor="background1" w:themeShade="80"/>
          <w:sz w:val="18"/>
          <w:szCs w:val="18"/>
          <w:shd w:val="clear" w:color="auto" w:fill="FFFFFF"/>
        </w:rPr>
        <w:t xml:space="preserve">Limited to 2,000 characters. Briefly describe how results of the project are to be made available in an accessible manner to the intended users of the information (e.g., refereed publications, non- refereed but peer reviewed publications, workshops, producer field days, etc.). If applicable, include descriptions concerning equality for service, ease of access to services/information, and any focus on under-served and/or </w:t>
      </w:r>
      <w:proofErr w:type="gramStart"/>
      <w:r w:rsidRPr="007E001D">
        <w:rPr>
          <w:rFonts w:ascii="Open Sans" w:hAnsi="Open Sans" w:cs="Open Sans"/>
          <w:color w:val="808080" w:themeColor="background1" w:themeShade="80"/>
          <w:sz w:val="18"/>
          <w:szCs w:val="18"/>
          <w:shd w:val="clear" w:color="auto" w:fill="FFFFFF"/>
        </w:rPr>
        <w:t>under represented</w:t>
      </w:r>
      <w:proofErr w:type="gramEnd"/>
      <w:r w:rsidRPr="007E001D">
        <w:rPr>
          <w:rFonts w:ascii="Open Sans" w:hAnsi="Open Sans" w:cs="Open Sans"/>
          <w:color w:val="808080" w:themeColor="background1" w:themeShade="80"/>
          <w:sz w:val="18"/>
          <w:szCs w:val="18"/>
          <w:shd w:val="clear" w:color="auto" w:fill="FFFFFF"/>
        </w:rPr>
        <w:t xml:space="preserve"> communities/consumers that may benefit from this proposed activity and what the plans are for disseminating information to these and other groups. Identify opportunities for the project/activity to interact with and/or deliver value to peer groups, stakeholders, clientele, and other multistate activities.</w:t>
      </w:r>
    </w:p>
    <w:p w14:paraId="6A596237" w14:textId="5293FCA5" w:rsidR="007E001D" w:rsidRPr="00C502EA" w:rsidRDefault="007E001D" w:rsidP="007E001D">
      <w:pPr>
        <w:pStyle w:val="Heading1"/>
        <w:spacing w:before="161" w:beforeAutospacing="0" w:after="161" w:afterAutospacing="0"/>
        <w:rPr>
          <w:b w:val="0"/>
          <w:color w:val="000000"/>
          <w:sz w:val="24"/>
        </w:rPr>
      </w:pPr>
      <w:r w:rsidRPr="00C502EA">
        <w:rPr>
          <w:b w:val="0"/>
          <w:color w:val="000000"/>
          <w:sz w:val="24"/>
        </w:rPr>
        <w:t xml:space="preserve">The project will produce </w:t>
      </w:r>
      <w:r>
        <w:rPr>
          <w:b w:val="0"/>
          <w:color w:val="000000"/>
          <w:sz w:val="24"/>
        </w:rPr>
        <w:t>useful information for</w:t>
      </w:r>
      <w:r w:rsidRPr="00C502EA">
        <w:rPr>
          <w:b w:val="0"/>
          <w:color w:val="000000"/>
          <w:sz w:val="24"/>
        </w:rPr>
        <w:t xml:space="preserve"> farmers, extension personnel, crop consultants, and the general public</w:t>
      </w:r>
      <w:r w:rsidR="000C1A55">
        <w:rPr>
          <w:b w:val="0"/>
          <w:color w:val="000000"/>
          <w:sz w:val="24"/>
        </w:rPr>
        <w:t>. T</w:t>
      </w:r>
      <w:r w:rsidRPr="00C502EA">
        <w:rPr>
          <w:b w:val="0"/>
          <w:color w:val="000000"/>
          <w:sz w:val="24"/>
        </w:rPr>
        <w:t xml:space="preserve">he </w:t>
      </w:r>
      <w:r w:rsidR="00230609" w:rsidRPr="00230609">
        <w:rPr>
          <w:b w:val="0"/>
          <w:sz w:val="24"/>
        </w:rPr>
        <w:t>results</w:t>
      </w:r>
      <w:r>
        <w:rPr>
          <w:b w:val="0"/>
          <w:color w:val="000000"/>
          <w:sz w:val="24"/>
        </w:rPr>
        <w:t xml:space="preserve"> will be shared in research papers, on the Cornell University Weed Science website, and in talks by extension professionals in New York, Delaware, and New Jersey. </w:t>
      </w:r>
      <w:r w:rsidRPr="00C502EA">
        <w:rPr>
          <w:b w:val="0"/>
          <w:color w:val="000000"/>
          <w:sz w:val="24"/>
        </w:rPr>
        <w:t xml:space="preserve"> Some </w:t>
      </w:r>
      <w:r>
        <w:rPr>
          <w:b w:val="0"/>
          <w:color w:val="000000"/>
          <w:sz w:val="24"/>
        </w:rPr>
        <w:t>likely</w:t>
      </w:r>
      <w:r w:rsidRPr="00C502EA">
        <w:rPr>
          <w:b w:val="0"/>
          <w:color w:val="000000"/>
          <w:sz w:val="24"/>
        </w:rPr>
        <w:t xml:space="preserve"> venues include:</w:t>
      </w:r>
    </w:p>
    <w:p w14:paraId="0219C2D5" w14:textId="77777777" w:rsidR="007E001D" w:rsidRPr="00C502EA" w:rsidRDefault="007E001D" w:rsidP="007E001D">
      <w:pPr>
        <w:pStyle w:val="Heading1"/>
        <w:spacing w:before="161" w:beforeAutospacing="0" w:after="161" w:afterAutospacing="0"/>
        <w:rPr>
          <w:b w:val="0"/>
          <w:color w:val="000000"/>
          <w:sz w:val="24"/>
        </w:rPr>
      </w:pPr>
      <w:r w:rsidRPr="00C502EA">
        <w:rPr>
          <w:b w:val="0"/>
          <w:color w:val="000000"/>
          <w:sz w:val="24"/>
        </w:rPr>
        <w:t xml:space="preserve">Weed Science Society of America annual </w:t>
      </w:r>
      <w:proofErr w:type="gramStart"/>
      <w:r w:rsidRPr="00C502EA">
        <w:rPr>
          <w:b w:val="0"/>
          <w:color w:val="000000"/>
          <w:sz w:val="24"/>
        </w:rPr>
        <w:t>meeting</w:t>
      </w:r>
      <w:proofErr w:type="gramEnd"/>
    </w:p>
    <w:p w14:paraId="3154199B" w14:textId="77777777" w:rsidR="007E001D" w:rsidRPr="00C502EA" w:rsidRDefault="007E001D" w:rsidP="007E001D">
      <w:pPr>
        <w:pStyle w:val="Heading1"/>
        <w:spacing w:before="161" w:beforeAutospacing="0" w:after="161" w:afterAutospacing="0"/>
        <w:rPr>
          <w:b w:val="0"/>
          <w:color w:val="000000"/>
          <w:sz w:val="24"/>
        </w:rPr>
      </w:pPr>
      <w:r w:rsidRPr="00C502EA">
        <w:rPr>
          <w:b w:val="0"/>
          <w:color w:val="000000"/>
          <w:sz w:val="24"/>
        </w:rPr>
        <w:t>Northeastern Plant, Pest and Soils annual conference</w:t>
      </w:r>
    </w:p>
    <w:p w14:paraId="026719F2" w14:textId="77777777" w:rsidR="007E001D" w:rsidRPr="00C502EA" w:rsidRDefault="007E001D" w:rsidP="007E001D">
      <w:pPr>
        <w:pStyle w:val="Heading1"/>
        <w:spacing w:before="161" w:beforeAutospacing="0" w:after="161" w:afterAutospacing="0"/>
        <w:rPr>
          <w:b w:val="0"/>
          <w:color w:val="000000"/>
          <w:sz w:val="24"/>
        </w:rPr>
      </w:pPr>
      <w:r>
        <w:rPr>
          <w:b w:val="0"/>
          <w:color w:val="000000"/>
          <w:sz w:val="24"/>
          <w:szCs w:val="24"/>
        </w:rPr>
        <w:t xml:space="preserve">Tri-Society </w:t>
      </w:r>
      <w:r w:rsidRPr="00C502EA">
        <w:rPr>
          <w:b w:val="0"/>
          <w:color w:val="000000"/>
          <w:sz w:val="24"/>
        </w:rPr>
        <w:t>of America annual meeting</w:t>
      </w:r>
    </w:p>
    <w:p w14:paraId="485AF9BC" w14:textId="77777777" w:rsidR="007E001D" w:rsidRPr="00C502EA" w:rsidRDefault="007E001D" w:rsidP="007E001D">
      <w:pPr>
        <w:pStyle w:val="Heading1"/>
        <w:spacing w:before="161" w:beforeAutospacing="0" w:after="161" w:afterAutospacing="0"/>
        <w:rPr>
          <w:b w:val="0"/>
          <w:color w:val="000000"/>
          <w:sz w:val="24"/>
        </w:rPr>
      </w:pPr>
      <w:r w:rsidRPr="00C502EA">
        <w:rPr>
          <w:b w:val="0"/>
          <w:color w:val="000000"/>
          <w:sz w:val="24"/>
        </w:rPr>
        <w:t>New York Cooperative Extension Agricultural In-Service</w:t>
      </w:r>
    </w:p>
    <w:p w14:paraId="652B6A34" w14:textId="77777777" w:rsidR="007E001D" w:rsidRPr="00C502EA" w:rsidRDefault="007E001D" w:rsidP="007E001D">
      <w:pPr>
        <w:pStyle w:val="Heading1"/>
        <w:spacing w:before="161" w:beforeAutospacing="0" w:after="161" w:afterAutospacing="0"/>
        <w:rPr>
          <w:b w:val="0"/>
          <w:color w:val="000000"/>
          <w:sz w:val="24"/>
        </w:rPr>
      </w:pPr>
      <w:r w:rsidRPr="00C502EA">
        <w:rPr>
          <w:b w:val="0"/>
          <w:color w:val="000000"/>
          <w:sz w:val="24"/>
        </w:rPr>
        <w:t>Delaware Cooperative Extension In-Service</w:t>
      </w:r>
    </w:p>
    <w:p w14:paraId="4D96339E" w14:textId="77777777" w:rsidR="007E001D" w:rsidRPr="00C502EA" w:rsidRDefault="007E001D" w:rsidP="007E001D">
      <w:pPr>
        <w:pStyle w:val="Heading1"/>
        <w:spacing w:before="161" w:beforeAutospacing="0" w:after="161" w:afterAutospacing="0"/>
        <w:rPr>
          <w:b w:val="0"/>
          <w:color w:val="000000"/>
          <w:sz w:val="24"/>
        </w:rPr>
      </w:pPr>
      <w:r w:rsidRPr="00C502EA">
        <w:rPr>
          <w:b w:val="0"/>
          <w:color w:val="000000"/>
          <w:sz w:val="24"/>
        </w:rPr>
        <w:t xml:space="preserve">Cornell University </w:t>
      </w:r>
      <w:r>
        <w:rPr>
          <w:b w:val="0"/>
          <w:color w:val="000000"/>
          <w:sz w:val="24"/>
          <w:szCs w:val="24"/>
        </w:rPr>
        <w:t>Musgrave Research Farm</w:t>
      </w:r>
      <w:r w:rsidRPr="00C502EA">
        <w:rPr>
          <w:b w:val="0"/>
          <w:color w:val="000000"/>
          <w:sz w:val="24"/>
        </w:rPr>
        <w:t xml:space="preserve"> Field Day</w:t>
      </w:r>
    </w:p>
    <w:p w14:paraId="16470F5D" w14:textId="77777777" w:rsidR="007E001D" w:rsidRPr="00C502EA" w:rsidRDefault="007E001D" w:rsidP="007E001D">
      <w:pPr>
        <w:pStyle w:val="Heading1"/>
        <w:spacing w:before="161" w:beforeAutospacing="0" w:after="161" w:afterAutospacing="0"/>
        <w:rPr>
          <w:b w:val="0"/>
          <w:color w:val="000000"/>
          <w:sz w:val="24"/>
        </w:rPr>
      </w:pPr>
      <w:r w:rsidRPr="00C502EA">
        <w:rPr>
          <w:b w:val="0"/>
          <w:color w:val="000000"/>
          <w:sz w:val="24"/>
        </w:rPr>
        <w:t>Delaware University’s Weed Science Field Day</w:t>
      </w:r>
    </w:p>
    <w:p w14:paraId="3F2529E4" w14:textId="77777777" w:rsidR="007E001D" w:rsidRPr="00C502EA" w:rsidRDefault="007E001D" w:rsidP="007E001D">
      <w:pPr>
        <w:pStyle w:val="Heading1"/>
        <w:spacing w:before="161" w:beforeAutospacing="0" w:after="161" w:afterAutospacing="0"/>
        <w:rPr>
          <w:b w:val="0"/>
          <w:color w:val="000000"/>
          <w:sz w:val="24"/>
        </w:rPr>
      </w:pPr>
      <w:r w:rsidRPr="00C502EA">
        <w:rPr>
          <w:b w:val="0"/>
          <w:color w:val="000000"/>
          <w:sz w:val="24"/>
        </w:rPr>
        <w:t>What’s Cropping Up</w:t>
      </w:r>
    </w:p>
    <w:p w14:paraId="0FC4F822" w14:textId="77777777" w:rsidR="007E001D" w:rsidRPr="00C502EA" w:rsidRDefault="007E001D" w:rsidP="007E001D">
      <w:pPr>
        <w:pStyle w:val="Heading1"/>
        <w:spacing w:before="161" w:beforeAutospacing="0" w:after="161" w:afterAutospacing="0"/>
        <w:rPr>
          <w:b w:val="0"/>
          <w:color w:val="000000"/>
          <w:sz w:val="24"/>
        </w:rPr>
      </w:pPr>
      <w:r w:rsidRPr="00C502EA">
        <w:rPr>
          <w:b w:val="0"/>
          <w:color w:val="000000"/>
          <w:sz w:val="24"/>
        </w:rPr>
        <w:t>Extension Insider (a weekly internal New York extension publication)</w:t>
      </w:r>
    </w:p>
    <w:p w14:paraId="126FDDD6" w14:textId="77777777" w:rsidR="007E001D" w:rsidRPr="00C502EA" w:rsidRDefault="007E001D" w:rsidP="007E001D">
      <w:pPr>
        <w:pStyle w:val="Heading1"/>
        <w:spacing w:before="161" w:beforeAutospacing="0" w:after="161" w:afterAutospacing="0"/>
        <w:rPr>
          <w:b w:val="0"/>
          <w:color w:val="000000"/>
          <w:sz w:val="24"/>
        </w:rPr>
      </w:pPr>
      <w:r w:rsidRPr="00C502EA">
        <w:rPr>
          <w:b w:val="0"/>
          <w:color w:val="000000"/>
          <w:sz w:val="24"/>
        </w:rPr>
        <w:t>Field day / twilight tours / field walks</w:t>
      </w:r>
    </w:p>
    <w:p w14:paraId="689E1808" w14:textId="77777777" w:rsidR="007E001D" w:rsidRPr="00C502EA" w:rsidRDefault="007E001D" w:rsidP="007E001D">
      <w:pPr>
        <w:pStyle w:val="Heading1"/>
        <w:spacing w:before="161" w:beforeAutospacing="0" w:after="161" w:afterAutospacing="0"/>
        <w:rPr>
          <w:b w:val="0"/>
          <w:color w:val="000000"/>
          <w:sz w:val="24"/>
        </w:rPr>
      </w:pPr>
      <w:r w:rsidRPr="00C502EA">
        <w:rPr>
          <w:b w:val="0"/>
          <w:color w:val="000000"/>
          <w:sz w:val="24"/>
        </w:rPr>
        <w:t>County extension meetings</w:t>
      </w:r>
    </w:p>
    <w:p w14:paraId="140CDB14" w14:textId="77777777" w:rsidR="007E001D" w:rsidRPr="00C502EA" w:rsidRDefault="007E001D" w:rsidP="007E001D">
      <w:pPr>
        <w:pStyle w:val="Heading1"/>
        <w:spacing w:before="161" w:beforeAutospacing="0" w:after="161" w:afterAutospacing="0"/>
        <w:rPr>
          <w:color w:val="000000"/>
          <w:sz w:val="24"/>
        </w:rPr>
      </w:pPr>
    </w:p>
    <w:p w14:paraId="69310255" w14:textId="77777777" w:rsidR="007E001D" w:rsidRPr="000D5722" w:rsidRDefault="007E001D" w:rsidP="007E001D">
      <w:pPr>
        <w:pStyle w:val="Heading1"/>
        <w:spacing w:before="161" w:beforeAutospacing="0" w:after="161" w:afterAutospacing="0"/>
        <w:rPr>
          <w:rFonts w:ascii="Arial" w:eastAsia="Times New Roman" w:hAnsi="Arial" w:cs="Arial"/>
          <w:b w:val="0"/>
          <w:bCs w:val="0"/>
          <w:color w:val="4B4441"/>
        </w:rPr>
      </w:pPr>
      <w:r w:rsidRPr="000D5722">
        <w:rPr>
          <w:rFonts w:ascii="Arial" w:eastAsia="Times New Roman" w:hAnsi="Arial" w:cs="Arial"/>
          <w:b w:val="0"/>
          <w:bCs w:val="0"/>
          <w:color w:val="4B4441"/>
        </w:rPr>
        <w:t>Organization/Governance</w:t>
      </w:r>
    </w:p>
    <w:p w14:paraId="7DD5C658" w14:textId="38C84C5C" w:rsidR="007E001D" w:rsidRPr="007E001D" w:rsidRDefault="007E001D" w:rsidP="007E001D">
      <w:pPr>
        <w:rPr>
          <w:color w:val="808080" w:themeColor="background1" w:themeShade="80"/>
        </w:rPr>
      </w:pPr>
      <w:r w:rsidRPr="007E001D">
        <w:rPr>
          <w:rFonts w:ascii="Open Sans" w:hAnsi="Open Sans" w:cs="Open Sans"/>
          <w:color w:val="808080" w:themeColor="background1" w:themeShade="80"/>
          <w:sz w:val="18"/>
          <w:szCs w:val="18"/>
          <w:shd w:val="clear" w:color="auto" w:fill="FFFFFF"/>
        </w:rPr>
        <w:t>Provide a very brief description of the organization of the technical committee with emphasis on unique items such as the formation of an executive committee and its functions, any subcommittees that are planned for specific functions, any anticipated program coordinators/managers and their responsibilities, etc. </w:t>
      </w:r>
      <w:hyperlink r:id="rId9" w:history="1">
        <w:r w:rsidRPr="007E001D">
          <w:rPr>
            <w:rStyle w:val="Hyperlink"/>
            <w:rFonts w:ascii="Open Sans" w:hAnsi="Open Sans" w:cs="Open Sans"/>
            <w:color w:val="808080" w:themeColor="background1" w:themeShade="80"/>
            <w:sz w:val="18"/>
            <w:szCs w:val="18"/>
            <w:shd w:val="clear" w:color="auto" w:fill="FFFFFF"/>
          </w:rPr>
          <w:t>Standard form of governance description</w:t>
        </w:r>
      </w:hyperlink>
      <w:r w:rsidRPr="007E001D">
        <w:rPr>
          <w:rFonts w:ascii="Open Sans" w:hAnsi="Open Sans" w:cs="Open Sans"/>
          <w:color w:val="808080" w:themeColor="background1" w:themeShade="80"/>
          <w:sz w:val="18"/>
          <w:szCs w:val="18"/>
          <w:shd w:val="clear" w:color="auto" w:fill="FFFFFF"/>
        </w:rPr>
        <w:t>.</w:t>
      </w:r>
    </w:p>
    <w:p w14:paraId="1833718A" w14:textId="6997C10C" w:rsidR="007E001D" w:rsidRPr="00C502EA" w:rsidRDefault="007E001D" w:rsidP="007E001D">
      <w:pPr>
        <w:rPr>
          <w:color w:val="000000"/>
        </w:rPr>
      </w:pPr>
      <w:r w:rsidRPr="00C502EA">
        <w:rPr>
          <w:color w:val="000000"/>
        </w:rPr>
        <w:t xml:space="preserve">The multistate research group will have an elected Chair, Chair-elect, and Secretary; we will elect them for the duration of our funded cycle. </w:t>
      </w:r>
      <w:r w:rsidRPr="00C502EA">
        <w:rPr>
          <w:color w:val="000000"/>
          <w:shd w:val="clear" w:color="auto" w:fill="FFFFFF"/>
        </w:rPr>
        <w:t>Administrative guidance will be provided by an assigned Administrative Advisor and a NIFA Representative.</w:t>
      </w:r>
    </w:p>
    <w:p w14:paraId="61B7312F" w14:textId="77777777" w:rsidR="007E001D" w:rsidRDefault="007E001D" w:rsidP="007E001D">
      <w:pPr>
        <w:pStyle w:val="Heading3"/>
        <w:spacing w:before="15" w:after="15"/>
        <w:rPr>
          <w:rFonts w:ascii="Open Sans" w:hAnsi="Open Sans" w:cs="Open Sans"/>
          <w:color w:val="4B4441"/>
          <w:sz w:val="28"/>
          <w:szCs w:val="28"/>
        </w:rPr>
      </w:pPr>
      <w:r>
        <w:rPr>
          <w:rFonts w:ascii="Open Sans" w:hAnsi="Open Sans" w:cs="Open Sans"/>
          <w:color w:val="4B4441"/>
          <w:sz w:val="28"/>
          <w:szCs w:val="28"/>
        </w:rPr>
        <w:lastRenderedPageBreak/>
        <w:t>Photos</w:t>
      </w:r>
    </w:p>
    <w:p w14:paraId="729CA00B" w14:textId="724716E1" w:rsidR="007C3A65" w:rsidRDefault="007C3A65" w:rsidP="007C3A65">
      <w:pPr>
        <w:pStyle w:val="Heading3"/>
        <w:spacing w:before="15" w:after="15"/>
        <w:rPr>
          <w:rFonts w:ascii="Open Sans" w:hAnsi="Open Sans" w:cs="Open Sans"/>
          <w:color w:val="4B4441"/>
          <w:sz w:val="28"/>
          <w:szCs w:val="28"/>
        </w:rPr>
      </w:pPr>
      <w:r>
        <w:rPr>
          <w:rFonts w:ascii="Open Sans" w:hAnsi="Open Sans" w:cs="Open Sans"/>
          <w:color w:val="4B4441"/>
          <w:sz w:val="28"/>
          <w:szCs w:val="28"/>
        </w:rPr>
        <w:t xml:space="preserve">Links: may we link to the AFRI grant? </w:t>
      </w:r>
    </w:p>
    <w:p w14:paraId="2C45A48F" w14:textId="77777777" w:rsidR="007C3A65" w:rsidRPr="007C3A65" w:rsidRDefault="007C3A65" w:rsidP="007C3A65"/>
    <w:p w14:paraId="46A81EE5" w14:textId="2D634122" w:rsidR="007C3A65" w:rsidRDefault="007C3A65" w:rsidP="007C3A65">
      <w:pPr>
        <w:pStyle w:val="Heading3"/>
        <w:spacing w:before="15" w:after="15"/>
        <w:rPr>
          <w:rFonts w:ascii="Open Sans" w:hAnsi="Open Sans" w:cs="Open Sans"/>
          <w:color w:val="4B4441"/>
          <w:sz w:val="28"/>
          <w:szCs w:val="28"/>
        </w:rPr>
      </w:pPr>
      <w:r>
        <w:rPr>
          <w:rFonts w:ascii="Open Sans" w:hAnsi="Open Sans" w:cs="Open Sans"/>
          <w:color w:val="4B4441"/>
          <w:sz w:val="28"/>
          <w:szCs w:val="28"/>
        </w:rPr>
        <w:t>Attachments: may we attach the AFRI grant?</w:t>
      </w:r>
    </w:p>
    <w:p w14:paraId="67B45465" w14:textId="77777777" w:rsidR="009900D0" w:rsidRPr="00C502EA" w:rsidRDefault="009900D0" w:rsidP="009900D0">
      <w:pPr>
        <w:pStyle w:val="Heading4"/>
        <w:spacing w:before="319" w:after="319"/>
        <w:rPr>
          <w:b/>
          <w:color w:val="4B4441"/>
        </w:rPr>
      </w:pPr>
    </w:p>
    <w:p w14:paraId="0C16A626" w14:textId="77777777" w:rsidR="009900D0" w:rsidRPr="000D5722" w:rsidRDefault="009900D0" w:rsidP="009900D0">
      <w:pPr>
        <w:pStyle w:val="Heading1"/>
        <w:spacing w:before="161" w:beforeAutospacing="0" w:after="161" w:afterAutospacing="0"/>
        <w:rPr>
          <w:rFonts w:ascii="Arial" w:eastAsia="Times New Roman" w:hAnsi="Arial" w:cs="Arial"/>
          <w:b w:val="0"/>
          <w:bCs w:val="0"/>
          <w:color w:val="4B4441"/>
        </w:rPr>
      </w:pPr>
      <w:r w:rsidRPr="000D5722">
        <w:rPr>
          <w:rFonts w:ascii="Arial" w:eastAsia="Times New Roman" w:hAnsi="Arial" w:cs="Arial"/>
          <w:b w:val="0"/>
          <w:bCs w:val="0"/>
          <w:color w:val="4B4441"/>
        </w:rPr>
        <w:t>Projected Participation</w:t>
      </w:r>
    </w:p>
    <w:p w14:paraId="5BF0B228" w14:textId="77777777" w:rsidR="009900D0" w:rsidRPr="00C502EA" w:rsidRDefault="009900D0" w:rsidP="009900D0">
      <w:pPr>
        <w:rPr>
          <w:b/>
        </w:rPr>
      </w:pPr>
      <w:r w:rsidRPr="00C502EA">
        <w:rPr>
          <w:b/>
        </w:rPr>
        <w:t>Cornell University</w:t>
      </w:r>
    </w:p>
    <w:p w14:paraId="3BEF84C5" w14:textId="77777777" w:rsidR="009900D0" w:rsidRDefault="009900D0" w:rsidP="009900D0">
      <w:pPr>
        <w:rPr>
          <w:i/>
        </w:rPr>
      </w:pPr>
    </w:p>
    <w:p w14:paraId="6EC5440B" w14:textId="77777777" w:rsidR="009900D0" w:rsidRPr="00C502EA" w:rsidRDefault="009900D0" w:rsidP="009900D0">
      <w:pPr>
        <w:rPr>
          <w:i/>
        </w:rPr>
      </w:pPr>
      <w:r w:rsidRPr="00C502EA">
        <w:rPr>
          <w:i/>
        </w:rPr>
        <w:t>School of Integrated Plant Science, Soil and Crop Sciences</w:t>
      </w:r>
    </w:p>
    <w:p w14:paraId="20D048F8" w14:textId="77777777" w:rsidR="009900D0" w:rsidRPr="00C502EA" w:rsidRDefault="009900D0" w:rsidP="009900D0">
      <w:r w:rsidRPr="004A43FA">
        <w:t xml:space="preserve">PI: </w:t>
      </w:r>
      <w:r w:rsidRPr="004A43FA">
        <w:rPr>
          <w:b/>
          <w:i/>
        </w:rPr>
        <w:t>Antonio DiTommaso</w:t>
      </w:r>
      <w:r w:rsidRPr="004A43FA">
        <w:t xml:space="preserve"> – Professor</w:t>
      </w:r>
      <w:r w:rsidRPr="002E74E7">
        <w:t xml:space="preserve"> </w:t>
      </w:r>
    </w:p>
    <w:p w14:paraId="718C0604" w14:textId="77777777" w:rsidR="009900D0" w:rsidRPr="00C502EA" w:rsidRDefault="009900D0" w:rsidP="009900D0">
      <w:r w:rsidRPr="00C502EA">
        <w:t xml:space="preserve">PM: </w:t>
      </w:r>
      <w:r w:rsidRPr="00C502EA">
        <w:rPr>
          <w:b/>
          <w:i/>
        </w:rPr>
        <w:t>Caroline Marschner</w:t>
      </w:r>
      <w:r w:rsidRPr="00C502EA">
        <w:t xml:space="preserve"> –Invasive Species Specialist</w:t>
      </w:r>
    </w:p>
    <w:p w14:paraId="23CFC2F0" w14:textId="77777777" w:rsidR="009900D0" w:rsidRDefault="009900D0" w:rsidP="009900D0"/>
    <w:p w14:paraId="747631D9" w14:textId="258124DA" w:rsidR="009900D0" w:rsidRDefault="009900D0" w:rsidP="009900D0">
      <w:r>
        <w:t>Th</w:t>
      </w:r>
      <w:r w:rsidR="008040CC">
        <w:t>e Weed Ecology and Mana</w:t>
      </w:r>
      <w:r w:rsidR="00D77140">
        <w:t xml:space="preserve">gement Lab led by Dr. DiTommaso </w:t>
      </w:r>
      <w:r w:rsidRPr="00B06FEC">
        <w:t xml:space="preserve">will take the lead on </w:t>
      </w:r>
      <w:r w:rsidR="00D77140">
        <w:t>the</w:t>
      </w:r>
      <w:r w:rsidR="00D77140" w:rsidRPr="00B06FEC">
        <w:t xml:space="preserve"> </w:t>
      </w:r>
      <w:r w:rsidRPr="00B06FEC">
        <w:t xml:space="preserve">proposal. </w:t>
      </w:r>
      <w:r w:rsidR="00D77140">
        <w:t>This group</w:t>
      </w:r>
      <w:r w:rsidRPr="00B06FEC">
        <w:t xml:space="preserve"> will </w:t>
      </w:r>
      <w:r w:rsidR="00D77140">
        <w:t>conduct the experiment</w:t>
      </w:r>
      <w:r w:rsidR="00D77140" w:rsidRPr="00B06FEC">
        <w:t xml:space="preserve"> </w:t>
      </w:r>
      <w:r w:rsidRPr="004A43FA">
        <w:t xml:space="preserve">at </w:t>
      </w:r>
      <w:r>
        <w:t>two</w:t>
      </w:r>
      <w:r w:rsidRPr="004A43FA">
        <w:t xml:space="preserve"> </w:t>
      </w:r>
      <w:r>
        <w:t xml:space="preserve">research </w:t>
      </w:r>
      <w:r w:rsidRPr="004A43FA">
        <w:t>s</w:t>
      </w:r>
      <w:r w:rsidRPr="00B06FEC">
        <w:t xml:space="preserve">ites, </w:t>
      </w:r>
      <w:r>
        <w:t xml:space="preserve">handle program management, ship OTC materials to collaborators, and provide air and soil temperature sensors and data loggers to participants. </w:t>
      </w:r>
    </w:p>
    <w:p w14:paraId="13E53D56" w14:textId="7302A282" w:rsidR="007C3A65" w:rsidRPr="00C502EA" w:rsidRDefault="007C3A65" w:rsidP="009900D0">
      <w:r>
        <w:t>Objectives 1 and 2</w:t>
      </w:r>
    </w:p>
    <w:p w14:paraId="756348AA" w14:textId="77777777" w:rsidR="009900D0" w:rsidRDefault="009900D0" w:rsidP="009900D0"/>
    <w:p w14:paraId="7CE7A541" w14:textId="77777777" w:rsidR="009900D0" w:rsidRPr="00C502EA" w:rsidRDefault="009900D0" w:rsidP="009900D0">
      <w:pPr>
        <w:rPr>
          <w:b/>
        </w:rPr>
      </w:pPr>
      <w:r>
        <w:rPr>
          <w:b/>
        </w:rPr>
        <w:t>Pennsylvania State University</w:t>
      </w:r>
    </w:p>
    <w:p w14:paraId="5DBBA66C" w14:textId="77777777" w:rsidR="009900D0" w:rsidRPr="00C502EA" w:rsidRDefault="009900D0" w:rsidP="009900D0">
      <w:r>
        <w:rPr>
          <w:b/>
          <w:i/>
        </w:rPr>
        <w:t>Carolyn Lowry</w:t>
      </w:r>
      <w:r w:rsidRPr="00C502EA">
        <w:t xml:space="preserve"> – </w:t>
      </w:r>
      <w:r>
        <w:t>Department of Plant Science</w:t>
      </w:r>
      <w:r w:rsidRPr="00C502EA">
        <w:t>, Ass</w:t>
      </w:r>
      <w:r>
        <w:t>istant</w:t>
      </w:r>
      <w:r w:rsidRPr="00C502EA">
        <w:t xml:space="preserve"> Professor</w:t>
      </w:r>
    </w:p>
    <w:p w14:paraId="02EC6829" w14:textId="1F549EC7" w:rsidR="009900D0" w:rsidRPr="00C502EA" w:rsidRDefault="009900D0" w:rsidP="009900D0">
      <w:r w:rsidRPr="00C502EA">
        <w:t xml:space="preserve">Dr. </w:t>
      </w:r>
      <w:r>
        <w:t>Lowry</w:t>
      </w:r>
      <w:r w:rsidRPr="00C502EA">
        <w:t xml:space="preserve"> </w:t>
      </w:r>
      <w:r>
        <w:t xml:space="preserve">is a co-PD of the AFRI grant on which this proposal is based. She </w:t>
      </w:r>
      <w:r w:rsidRPr="00C502EA">
        <w:t xml:space="preserve">will be </w:t>
      </w:r>
      <w:r>
        <w:t>providing the</w:t>
      </w:r>
      <w:r w:rsidR="00FA1390">
        <w:t xml:space="preserve"> design for the project’s</w:t>
      </w:r>
      <w:r>
        <w:t xml:space="preserve"> OTCs, co-produc</w:t>
      </w:r>
      <w:r w:rsidR="00FA1390">
        <w:t>e</w:t>
      </w:r>
      <w:r>
        <w:t xml:space="preserve"> the project protocol, and deploying the research alongside her existing experiment</w:t>
      </w:r>
      <w:r w:rsidRPr="00C502EA">
        <w:t>.</w:t>
      </w:r>
    </w:p>
    <w:p w14:paraId="63759E8A" w14:textId="77777777" w:rsidR="007C3A65" w:rsidRPr="00C502EA" w:rsidRDefault="007C3A65" w:rsidP="007C3A65">
      <w:r>
        <w:t>Objectives 1 and 2</w:t>
      </w:r>
    </w:p>
    <w:p w14:paraId="2A9140DE" w14:textId="77777777" w:rsidR="009900D0" w:rsidRPr="00C502EA" w:rsidRDefault="009900D0" w:rsidP="009900D0">
      <w:pPr>
        <w:rPr>
          <w:b/>
        </w:rPr>
      </w:pPr>
      <w:r w:rsidRPr="00C502EA">
        <w:rPr>
          <w:b/>
        </w:rPr>
        <w:t>University of New Hampshire</w:t>
      </w:r>
    </w:p>
    <w:p w14:paraId="21724C35" w14:textId="77777777" w:rsidR="009900D0" w:rsidRPr="00C502EA" w:rsidRDefault="009900D0" w:rsidP="009900D0">
      <w:r w:rsidRPr="00C502EA">
        <w:rPr>
          <w:b/>
          <w:i/>
        </w:rPr>
        <w:t>Richard Smith</w:t>
      </w:r>
      <w:r w:rsidRPr="00C502EA">
        <w:t xml:space="preserve"> – College of Life Sciences and Agriculture, Associate Professor</w:t>
      </w:r>
    </w:p>
    <w:p w14:paraId="38E252A3" w14:textId="3B71B3E5" w:rsidR="009900D0" w:rsidRPr="00C502EA" w:rsidRDefault="009900D0" w:rsidP="009900D0">
      <w:r w:rsidRPr="00C502EA">
        <w:t xml:space="preserve">Dr. Smith </w:t>
      </w:r>
      <w:r>
        <w:t xml:space="preserve">is a co-PD of the AFRI grant on which this proposal is based. He </w:t>
      </w:r>
      <w:r w:rsidRPr="00C502EA">
        <w:t xml:space="preserve">will be </w:t>
      </w:r>
      <w:r>
        <w:t xml:space="preserve">co-producing the project protocol and deploying the research alongside </w:t>
      </w:r>
      <w:r w:rsidR="00FA1390">
        <w:t xml:space="preserve">his </w:t>
      </w:r>
      <w:r>
        <w:t>existing experiment</w:t>
      </w:r>
      <w:r w:rsidRPr="00C502EA">
        <w:t>.</w:t>
      </w:r>
    </w:p>
    <w:p w14:paraId="324FF5B1" w14:textId="77777777" w:rsidR="007C3A65" w:rsidRPr="00C502EA" w:rsidRDefault="007C3A65" w:rsidP="007C3A65">
      <w:r>
        <w:t>Objectives 1 and 2</w:t>
      </w:r>
    </w:p>
    <w:p w14:paraId="6F854A90" w14:textId="77777777" w:rsidR="009900D0" w:rsidRPr="00C502EA" w:rsidRDefault="009900D0" w:rsidP="009900D0">
      <w:pPr>
        <w:rPr>
          <w:b/>
        </w:rPr>
      </w:pPr>
      <w:r w:rsidRPr="00C502EA">
        <w:rPr>
          <w:b/>
        </w:rPr>
        <w:t>Rutgers University Experiment Station</w:t>
      </w:r>
    </w:p>
    <w:p w14:paraId="678A77B6" w14:textId="77777777" w:rsidR="009900D0" w:rsidRPr="00C502EA" w:rsidRDefault="009900D0" w:rsidP="009900D0">
      <w:r w:rsidRPr="00C502EA">
        <w:rPr>
          <w:b/>
          <w:i/>
        </w:rPr>
        <w:lastRenderedPageBreak/>
        <w:t>Thierry Besancon</w:t>
      </w:r>
      <w:r w:rsidRPr="00C502EA">
        <w:t xml:space="preserve"> – Assistant Extension Specialist in Weed Science</w:t>
      </w:r>
    </w:p>
    <w:p w14:paraId="461F75A1" w14:textId="0DE9E769" w:rsidR="009900D0" w:rsidRPr="00C502EA" w:rsidRDefault="009900D0" w:rsidP="009900D0">
      <w:r w:rsidRPr="00C502EA">
        <w:t xml:space="preserve">Dr. Besancon will be </w:t>
      </w:r>
      <w:r w:rsidR="00097ABA">
        <w:t>conducting the experiment</w:t>
      </w:r>
      <w:r w:rsidRPr="00C502EA">
        <w:t xml:space="preserve"> </w:t>
      </w:r>
      <w:r>
        <w:t>at two sites in New Jersey</w:t>
      </w:r>
      <w:r w:rsidRPr="00C502EA">
        <w:t>.</w:t>
      </w:r>
    </w:p>
    <w:p w14:paraId="085C4A42" w14:textId="77777777" w:rsidR="007C3A65" w:rsidRPr="00C502EA" w:rsidRDefault="007C3A65" w:rsidP="007C3A65">
      <w:r>
        <w:t>Objectives 1 and 2</w:t>
      </w:r>
    </w:p>
    <w:p w14:paraId="0A501951" w14:textId="77777777" w:rsidR="009900D0" w:rsidRPr="00C502EA" w:rsidRDefault="009900D0" w:rsidP="009900D0">
      <w:pPr>
        <w:rPr>
          <w:b/>
        </w:rPr>
      </w:pPr>
      <w:r w:rsidRPr="00C502EA">
        <w:rPr>
          <w:b/>
        </w:rPr>
        <w:t>University of Delaware</w:t>
      </w:r>
    </w:p>
    <w:p w14:paraId="3DE7F292" w14:textId="77777777" w:rsidR="009900D0" w:rsidRPr="00C502EA" w:rsidRDefault="009900D0" w:rsidP="009900D0">
      <w:r w:rsidRPr="00C502EA">
        <w:rPr>
          <w:b/>
          <w:i/>
        </w:rPr>
        <w:t>Mark VanGessel</w:t>
      </w:r>
      <w:r w:rsidRPr="00C502EA">
        <w:t xml:space="preserve"> – College of Agriculture &amp; Natural Resources, Professor and Extension Specialist</w:t>
      </w:r>
    </w:p>
    <w:p w14:paraId="0651A315" w14:textId="05504676" w:rsidR="009900D0" w:rsidRPr="00C502EA" w:rsidRDefault="009900D0" w:rsidP="009900D0">
      <w:r w:rsidRPr="00C502EA">
        <w:t xml:space="preserve">Dr. VanGessel will be </w:t>
      </w:r>
      <w:r w:rsidR="00097ABA">
        <w:t>conducting the experiment</w:t>
      </w:r>
      <w:r w:rsidR="00097ABA" w:rsidRPr="00C502EA">
        <w:t xml:space="preserve"> </w:t>
      </w:r>
      <w:r>
        <w:t>in Delaware.</w:t>
      </w:r>
      <w:r w:rsidRPr="00C502EA">
        <w:t xml:space="preserve"> </w:t>
      </w:r>
    </w:p>
    <w:p w14:paraId="579989B6" w14:textId="64E0822A" w:rsidR="007C3A65" w:rsidRDefault="007C3A65" w:rsidP="007C3A65">
      <w:bookmarkStart w:id="1" w:name="organization_and_governance"/>
      <w:bookmarkEnd w:id="1"/>
      <w:r>
        <w:t>Objectives 1 and 2</w:t>
      </w:r>
    </w:p>
    <w:p w14:paraId="13EE6D90" w14:textId="42AB6E5B" w:rsidR="009F354C" w:rsidRDefault="009F354C" w:rsidP="007C3A65"/>
    <w:p w14:paraId="45B55EBE" w14:textId="0DBC8F14" w:rsidR="009F354C" w:rsidRDefault="009F354C" w:rsidP="007C3A65"/>
    <w:p w14:paraId="15C9A811" w14:textId="01871DDB" w:rsidR="009F354C" w:rsidRDefault="009F354C" w:rsidP="007C3A65">
      <w:r>
        <w:t>Attachments</w:t>
      </w:r>
    </w:p>
    <w:p w14:paraId="37911E98" w14:textId="6A622B15" w:rsidR="009F354C" w:rsidRDefault="009F354C">
      <w:r>
        <w:br w:type="page"/>
      </w:r>
    </w:p>
    <w:p w14:paraId="531BAC1B" w14:textId="0A7F2B69" w:rsidR="009F354C" w:rsidRPr="00C502EA" w:rsidRDefault="009F354C" w:rsidP="007C3A65">
      <w:r>
        <w:rPr>
          <w:noProof/>
        </w:rPr>
        <w:lastRenderedPageBreak/>
        <w:drawing>
          <wp:inline distT="0" distB="0" distL="0" distR="0" wp14:anchorId="00548695" wp14:editId="22F6D126">
            <wp:extent cx="5943600" cy="4457700"/>
            <wp:effectExtent l="0" t="0" r="0" b="0"/>
            <wp:docPr id="3" name="Picture 3"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sky, outdoor, fie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3C6EC02" w14:textId="77777777" w:rsidR="009900D0" w:rsidRPr="00C502EA" w:rsidRDefault="009900D0" w:rsidP="009900D0">
      <w:pPr>
        <w:pStyle w:val="Heading1"/>
        <w:spacing w:before="161" w:beforeAutospacing="0" w:after="161" w:afterAutospacing="0"/>
        <w:rPr>
          <w:b w:val="0"/>
          <w:color w:val="4B4441"/>
          <w:sz w:val="24"/>
        </w:rPr>
      </w:pPr>
    </w:p>
    <w:p w14:paraId="4E82A06E" w14:textId="77777777" w:rsidR="007E001D" w:rsidRDefault="007E001D" w:rsidP="007E001D">
      <w:pPr>
        <w:pStyle w:val="Heading3"/>
        <w:spacing w:before="15" w:after="15"/>
        <w:rPr>
          <w:rFonts w:ascii="Open Sans" w:hAnsi="Open Sans" w:cs="Open Sans"/>
          <w:color w:val="4B4441"/>
          <w:sz w:val="28"/>
          <w:szCs w:val="28"/>
        </w:rPr>
      </w:pPr>
      <w:r>
        <w:rPr>
          <w:rFonts w:ascii="Open Sans" w:hAnsi="Open Sans" w:cs="Open Sans"/>
          <w:color w:val="4B4441"/>
          <w:sz w:val="28"/>
          <w:szCs w:val="28"/>
        </w:rPr>
        <w:t>Literature Cited</w:t>
      </w:r>
    </w:p>
    <w:p w14:paraId="3EA34D1B" w14:textId="77777777" w:rsidR="00230609" w:rsidRPr="00EC419C" w:rsidRDefault="00230609" w:rsidP="00230609">
      <w:pPr>
        <w:pStyle w:val="EndNoteBibliography"/>
        <w:spacing w:after="0"/>
        <w:ind w:left="720" w:hanging="720"/>
      </w:pPr>
      <w:r w:rsidRPr="00EC419C">
        <w:fldChar w:fldCharType="begin"/>
      </w:r>
      <w:r w:rsidRPr="00EC419C">
        <w:instrText xml:space="preserve"> ADDIN EN.REFLIST </w:instrText>
      </w:r>
      <w:r w:rsidRPr="00EC419C">
        <w:fldChar w:fldCharType="separate"/>
      </w:r>
      <w:r w:rsidRPr="00EC419C">
        <w:t xml:space="preserve">Baker, B. P., &amp; Mohler, C. L. (2015). Weed management by upstate New York organic farmers: Strategies, techniques and research priorities. </w:t>
      </w:r>
      <w:r w:rsidRPr="00EC419C">
        <w:rPr>
          <w:i/>
        </w:rPr>
        <w:t>Renewable Agriculture and Food Systems</w:t>
      </w:r>
      <w:r w:rsidRPr="00EC419C">
        <w:t>,</w:t>
      </w:r>
      <w:r w:rsidRPr="00EC419C">
        <w:rPr>
          <w:i/>
        </w:rPr>
        <w:t xml:space="preserve"> 30</w:t>
      </w:r>
      <w:r w:rsidRPr="00EC419C">
        <w:t xml:space="preserve">(5), 418-427. </w:t>
      </w:r>
      <w:hyperlink r:id="rId11" w:history="1">
        <w:r w:rsidRPr="00EC419C">
          <w:rPr>
            <w:rStyle w:val="Hyperlink"/>
          </w:rPr>
          <w:t>https://doi.org/10.1017/S1742170514000192</w:t>
        </w:r>
      </w:hyperlink>
      <w:r w:rsidRPr="00EC419C">
        <w:t xml:space="preserve"> </w:t>
      </w:r>
    </w:p>
    <w:p w14:paraId="19D1E4CB" w14:textId="77777777" w:rsidR="00230609" w:rsidRPr="00EC419C" w:rsidRDefault="00230609" w:rsidP="00230609">
      <w:pPr>
        <w:pStyle w:val="EndNoteBibliography"/>
        <w:spacing w:after="0"/>
        <w:ind w:left="720" w:hanging="720"/>
      </w:pPr>
      <w:r w:rsidRPr="00EC419C">
        <w:t xml:space="preserve">Baker, H. G. (1974). The evolution of weeds. </w:t>
      </w:r>
      <w:r w:rsidRPr="00EC419C">
        <w:rPr>
          <w:i/>
        </w:rPr>
        <w:t>Annual Review of Ecology and Systematics</w:t>
      </w:r>
      <w:r w:rsidRPr="00EC419C">
        <w:t>,</w:t>
      </w:r>
      <w:r w:rsidRPr="00EC419C">
        <w:rPr>
          <w:i/>
        </w:rPr>
        <w:t xml:space="preserve"> 5</w:t>
      </w:r>
      <w:r w:rsidRPr="00EC419C">
        <w:t xml:space="preserve">(1), 1-24. </w:t>
      </w:r>
      <w:hyperlink r:id="rId12" w:history="1">
        <w:r w:rsidRPr="00EC419C">
          <w:rPr>
            <w:rStyle w:val="Hyperlink"/>
          </w:rPr>
          <w:t>https://doi.org/10.1146/annurev.es.05.110174.000245</w:t>
        </w:r>
      </w:hyperlink>
      <w:r w:rsidRPr="00EC419C">
        <w:t xml:space="preserve"> </w:t>
      </w:r>
    </w:p>
    <w:p w14:paraId="24430D60" w14:textId="77777777" w:rsidR="00230609" w:rsidRPr="00EC419C" w:rsidRDefault="00230609" w:rsidP="00230609">
      <w:pPr>
        <w:pStyle w:val="EndNoteBibliography"/>
        <w:spacing w:after="0"/>
        <w:ind w:left="720" w:hanging="720"/>
      </w:pPr>
      <w:r w:rsidRPr="00EC419C">
        <w:t xml:space="preserve">Baskin, C. C., &amp; Baskin, J. M. (2014). </w:t>
      </w:r>
      <w:r w:rsidRPr="00EC419C">
        <w:rPr>
          <w:i/>
        </w:rPr>
        <w:t>Seeds: Ecology, Biogeography, and Evolution of Dormancy and Germination</w:t>
      </w:r>
      <w:r w:rsidRPr="00EC419C">
        <w:t xml:space="preserve"> (2nd ed.). Academic Press. </w:t>
      </w:r>
    </w:p>
    <w:p w14:paraId="3B64D63F" w14:textId="77777777" w:rsidR="00230609" w:rsidRPr="00EC419C" w:rsidRDefault="00230609" w:rsidP="00230609">
      <w:pPr>
        <w:pStyle w:val="EndNoteBibliography"/>
        <w:spacing w:after="0"/>
        <w:ind w:left="720" w:hanging="720"/>
      </w:pPr>
      <w:r w:rsidRPr="00EC419C">
        <w:t xml:space="preserve">Bélanger, G., Rochette, P., Castonguay, Y., Bootsma, A., Mongrain, D., &amp; Ryan, D. A. J. (2002). Climate change and winter survival of perennial forage crops in eastern Canada. </w:t>
      </w:r>
      <w:r w:rsidRPr="00EC419C">
        <w:rPr>
          <w:i/>
        </w:rPr>
        <w:t>Agronomy Journal</w:t>
      </w:r>
      <w:r w:rsidRPr="00EC419C">
        <w:t>,</w:t>
      </w:r>
      <w:r w:rsidRPr="00EC419C">
        <w:rPr>
          <w:i/>
        </w:rPr>
        <w:t xml:space="preserve"> 94</w:t>
      </w:r>
      <w:r w:rsidRPr="00EC419C">
        <w:t xml:space="preserve">(5), 1120-1130. </w:t>
      </w:r>
      <w:hyperlink r:id="rId13" w:history="1">
        <w:r w:rsidRPr="00EC419C">
          <w:rPr>
            <w:rStyle w:val="Hyperlink"/>
          </w:rPr>
          <w:t>https://doi.org/10.2134/agronj2002.1120</w:t>
        </w:r>
      </w:hyperlink>
      <w:r w:rsidRPr="00EC419C">
        <w:t xml:space="preserve"> </w:t>
      </w:r>
    </w:p>
    <w:p w14:paraId="267BF579" w14:textId="77777777" w:rsidR="00230609" w:rsidRPr="00EC419C" w:rsidRDefault="00230609" w:rsidP="00230609">
      <w:pPr>
        <w:pStyle w:val="EndNoteBibliography"/>
        <w:spacing w:after="0"/>
        <w:ind w:left="720" w:hanging="720"/>
      </w:pPr>
      <w:r w:rsidRPr="00EC419C">
        <w:t xml:space="preserve">Benech-Arnold, R. L., Sánchez, R. A., Forcella, F., Kruk, B. C., &amp; Ghersa, C. M. (2000). Environmental control of dormancy in weed seed banks in soil. </w:t>
      </w:r>
      <w:r w:rsidRPr="00EC419C">
        <w:rPr>
          <w:i/>
        </w:rPr>
        <w:t>Field Crops Research</w:t>
      </w:r>
      <w:r w:rsidRPr="00EC419C">
        <w:t>,</w:t>
      </w:r>
      <w:r w:rsidRPr="00EC419C">
        <w:rPr>
          <w:i/>
        </w:rPr>
        <w:t xml:space="preserve"> 67</w:t>
      </w:r>
      <w:r w:rsidRPr="00EC419C">
        <w:t xml:space="preserve">(2), 105-122. </w:t>
      </w:r>
      <w:hyperlink r:id="rId14" w:history="1">
        <w:r w:rsidRPr="00EC419C">
          <w:rPr>
            <w:rStyle w:val="Hyperlink"/>
          </w:rPr>
          <w:t>https://doi.org/10.1016/S0378-4290(00)00087-3</w:t>
        </w:r>
      </w:hyperlink>
      <w:r w:rsidRPr="00EC419C">
        <w:t xml:space="preserve"> </w:t>
      </w:r>
    </w:p>
    <w:p w14:paraId="7C84DA7A" w14:textId="77777777" w:rsidR="00230609" w:rsidRPr="00EC419C" w:rsidRDefault="00230609" w:rsidP="00230609">
      <w:pPr>
        <w:pStyle w:val="EndNoteBibliography"/>
        <w:spacing w:after="0"/>
        <w:ind w:left="720" w:hanging="720"/>
      </w:pPr>
      <w:r w:rsidRPr="00EC419C">
        <w:t xml:space="preserve">Bjorkman, A. D., Vellend, M., Frei, E. R., &amp; Henry, G. H. R. (2017). Climate adaptation is not enough: warming does not facilitate success of southern tundra plant populations in the high Arctic. </w:t>
      </w:r>
      <w:r w:rsidRPr="00EC419C">
        <w:rPr>
          <w:i/>
        </w:rPr>
        <w:t>Global Change Biology</w:t>
      </w:r>
      <w:r w:rsidRPr="00EC419C">
        <w:t>,</w:t>
      </w:r>
      <w:r w:rsidRPr="00EC419C">
        <w:rPr>
          <w:i/>
        </w:rPr>
        <w:t xml:space="preserve"> 23</w:t>
      </w:r>
      <w:r w:rsidRPr="00EC419C">
        <w:t xml:space="preserve">(4), 1540-1551. </w:t>
      </w:r>
      <w:hyperlink r:id="rId15" w:history="1">
        <w:r w:rsidRPr="00EC419C">
          <w:rPr>
            <w:rStyle w:val="Hyperlink"/>
          </w:rPr>
          <w:t>https://doi.org/10.1111/gcb.13417</w:t>
        </w:r>
      </w:hyperlink>
      <w:r w:rsidRPr="00EC419C">
        <w:t xml:space="preserve"> </w:t>
      </w:r>
    </w:p>
    <w:p w14:paraId="0FBE6B04" w14:textId="77777777" w:rsidR="00230609" w:rsidRPr="00EC419C" w:rsidRDefault="00230609" w:rsidP="00230609">
      <w:pPr>
        <w:pStyle w:val="EndNoteBibliography"/>
        <w:spacing w:after="0"/>
        <w:ind w:left="720" w:hanging="720"/>
      </w:pPr>
      <w:r w:rsidRPr="00EC419C">
        <w:lastRenderedPageBreak/>
        <w:t xml:space="preserve">Brown, P. J., Bradley, R. S., &amp; Keimig, F. T. (2010). Changes in extreme climate indices for the northeastern United States, 1870–2005. </w:t>
      </w:r>
      <w:r w:rsidRPr="00EC419C">
        <w:rPr>
          <w:i/>
        </w:rPr>
        <w:t>Journal of Climate</w:t>
      </w:r>
      <w:r w:rsidRPr="00EC419C">
        <w:t>,</w:t>
      </w:r>
      <w:r w:rsidRPr="00EC419C">
        <w:rPr>
          <w:i/>
        </w:rPr>
        <w:t xml:space="preserve"> 23</w:t>
      </w:r>
      <w:r w:rsidRPr="00EC419C">
        <w:t xml:space="preserve">(24), 6555-6572. </w:t>
      </w:r>
      <w:hyperlink r:id="rId16" w:history="1">
        <w:r w:rsidRPr="00EC419C">
          <w:rPr>
            <w:rStyle w:val="Hyperlink"/>
          </w:rPr>
          <w:t>https://doi.org/10.1175/2010JCLI3363.1</w:t>
        </w:r>
      </w:hyperlink>
      <w:r w:rsidRPr="00EC419C">
        <w:t xml:space="preserve"> </w:t>
      </w:r>
    </w:p>
    <w:p w14:paraId="171C3320" w14:textId="77777777" w:rsidR="00230609" w:rsidRPr="00EC419C" w:rsidRDefault="00230609" w:rsidP="00230609">
      <w:pPr>
        <w:pStyle w:val="EndNoteBibliography"/>
        <w:spacing w:after="0"/>
        <w:ind w:left="720" w:hanging="720"/>
      </w:pPr>
      <w:r w:rsidRPr="00EC419C">
        <w:t xml:space="preserve">Cavers, P. B., &amp; Benoit, D. L. (1989). Seed banks in arable land. In M. A. Leck, V. T. Parker, &amp; R. L. Simpson (Eds.), </w:t>
      </w:r>
      <w:r w:rsidRPr="00EC419C">
        <w:rPr>
          <w:i/>
        </w:rPr>
        <w:t>Ecology of Soil Seed Banks</w:t>
      </w:r>
      <w:r w:rsidRPr="00EC419C">
        <w:t xml:space="preserve"> (pp. 309–328). Academic Press. </w:t>
      </w:r>
    </w:p>
    <w:p w14:paraId="2FE20EB8" w14:textId="77777777" w:rsidR="00230609" w:rsidRPr="00EC419C" w:rsidRDefault="00230609" w:rsidP="00230609">
      <w:pPr>
        <w:pStyle w:val="EndNoteBibliography"/>
        <w:spacing w:after="0"/>
        <w:ind w:left="720" w:hanging="720"/>
      </w:pPr>
      <w:r w:rsidRPr="00EC419C">
        <w:t xml:space="preserve">Chambers, J. C., &amp; MacMahon, J. A. (1994). A day in the life of a seed: Movements and fates of seeds and their implications for natural and managed systems. </w:t>
      </w:r>
      <w:r w:rsidRPr="00EC419C">
        <w:rPr>
          <w:i/>
        </w:rPr>
        <w:t>Annual Review of Ecology and Systematics</w:t>
      </w:r>
      <w:r w:rsidRPr="00EC419C">
        <w:t>,</w:t>
      </w:r>
      <w:r w:rsidRPr="00EC419C">
        <w:rPr>
          <w:i/>
        </w:rPr>
        <w:t xml:space="preserve"> 25</w:t>
      </w:r>
      <w:r w:rsidRPr="00EC419C">
        <w:t xml:space="preserve">(1), 263-292. </w:t>
      </w:r>
      <w:hyperlink r:id="rId17" w:history="1">
        <w:r w:rsidRPr="00EC419C">
          <w:rPr>
            <w:rStyle w:val="Hyperlink"/>
          </w:rPr>
          <w:t>https://doi.org/10.1146/annurev.es.25.110194.001403</w:t>
        </w:r>
      </w:hyperlink>
      <w:r w:rsidRPr="00EC419C">
        <w:t xml:space="preserve"> </w:t>
      </w:r>
    </w:p>
    <w:p w14:paraId="0E5B763F" w14:textId="77777777" w:rsidR="00230609" w:rsidRPr="00EC419C" w:rsidRDefault="00230609" w:rsidP="00230609">
      <w:pPr>
        <w:pStyle w:val="EndNoteBibliography"/>
        <w:spacing w:after="0"/>
        <w:ind w:left="720" w:hanging="720"/>
      </w:pPr>
      <w:r w:rsidRPr="00EC419C">
        <w:t xml:space="preserve">Chen, S., Wu, R., Chen, W., &amp; Yao, S. (2018). Enhanced linkage between Eurasian winter and spring dominant modes of atmospheric interannual variability since the early 1990s. </w:t>
      </w:r>
      <w:r w:rsidRPr="00EC419C">
        <w:rPr>
          <w:i/>
        </w:rPr>
        <w:t>Journal of Climate</w:t>
      </w:r>
      <w:r w:rsidRPr="00EC419C">
        <w:t>,</w:t>
      </w:r>
      <w:r w:rsidRPr="00EC419C">
        <w:rPr>
          <w:i/>
        </w:rPr>
        <w:t xml:space="preserve"> 31</w:t>
      </w:r>
      <w:r w:rsidRPr="00EC419C">
        <w:t xml:space="preserve">(9), 3575-3595. </w:t>
      </w:r>
      <w:hyperlink r:id="rId18" w:history="1">
        <w:r w:rsidRPr="00EC419C">
          <w:rPr>
            <w:rStyle w:val="Hyperlink"/>
          </w:rPr>
          <w:t>https://doi.org/10.1175/JCLI-D-17-0525.1</w:t>
        </w:r>
      </w:hyperlink>
      <w:r w:rsidRPr="00EC419C">
        <w:t xml:space="preserve"> </w:t>
      </w:r>
    </w:p>
    <w:p w14:paraId="65D41AB6" w14:textId="77777777" w:rsidR="00230609" w:rsidRPr="00EC419C" w:rsidRDefault="00230609" w:rsidP="00230609">
      <w:pPr>
        <w:pStyle w:val="EndNoteBibliography"/>
        <w:spacing w:after="0"/>
        <w:ind w:left="720" w:hanging="720"/>
      </w:pPr>
      <w:r w:rsidRPr="00EC419C">
        <w:t xml:space="preserve">Classen, A. T., Sundqvist, M. K., Henning, J. A., Newman, G. S., Moore, J. A. M., Cregger, M. A., Moorhead, L. C., &amp; Patterson, C. M. (2015). Direct and indirect effects of climate change on soil microbial and soil microbial-plant interactions: What lies ahead? </w:t>
      </w:r>
      <w:r w:rsidRPr="00EC419C">
        <w:rPr>
          <w:i/>
        </w:rPr>
        <w:t>Ecosphere</w:t>
      </w:r>
      <w:r w:rsidRPr="00EC419C">
        <w:t>,</w:t>
      </w:r>
      <w:r w:rsidRPr="00EC419C">
        <w:rPr>
          <w:i/>
        </w:rPr>
        <w:t xml:space="preserve"> 6</w:t>
      </w:r>
      <w:r w:rsidRPr="00EC419C">
        <w:t xml:space="preserve">(8), 130. </w:t>
      </w:r>
      <w:hyperlink r:id="rId19" w:history="1">
        <w:r w:rsidRPr="00EC419C">
          <w:rPr>
            <w:rStyle w:val="Hyperlink"/>
          </w:rPr>
          <w:t>https://doi.org/10.1890/ES15-00217.1</w:t>
        </w:r>
      </w:hyperlink>
      <w:r w:rsidRPr="00EC419C">
        <w:t xml:space="preserve"> </w:t>
      </w:r>
    </w:p>
    <w:p w14:paraId="1511B16E" w14:textId="77777777" w:rsidR="00230609" w:rsidRPr="00EC419C" w:rsidRDefault="00230609" w:rsidP="00230609">
      <w:pPr>
        <w:pStyle w:val="EndNoteBibliography"/>
        <w:spacing w:after="0"/>
        <w:ind w:left="720" w:hanging="720"/>
      </w:pPr>
      <w:r w:rsidRPr="00EC419C">
        <w:t xml:space="preserve">Cohen, J. (2016). An observational analysis: Tropical relative to Arctic influence on midlatitude weather in the era of Arctic amplification. </w:t>
      </w:r>
      <w:r w:rsidRPr="00EC419C">
        <w:rPr>
          <w:i/>
        </w:rPr>
        <w:t>Geophysical Research Letters</w:t>
      </w:r>
      <w:r w:rsidRPr="00EC419C">
        <w:t>,</w:t>
      </w:r>
      <w:r w:rsidRPr="00EC419C">
        <w:rPr>
          <w:i/>
        </w:rPr>
        <w:t xml:space="preserve"> 43</w:t>
      </w:r>
      <w:r w:rsidRPr="00EC419C">
        <w:t xml:space="preserve">(10), 5287-5294. </w:t>
      </w:r>
      <w:hyperlink r:id="rId20" w:history="1">
        <w:r w:rsidRPr="00EC419C">
          <w:rPr>
            <w:rStyle w:val="Hyperlink"/>
          </w:rPr>
          <w:t>https://doi.org/10.1002/2016GL069102</w:t>
        </w:r>
      </w:hyperlink>
      <w:r w:rsidRPr="00EC419C">
        <w:t xml:space="preserve"> </w:t>
      </w:r>
    </w:p>
    <w:p w14:paraId="62D07F5B" w14:textId="77777777" w:rsidR="00230609" w:rsidRPr="00EC419C" w:rsidRDefault="00230609" w:rsidP="00230609">
      <w:pPr>
        <w:pStyle w:val="EndNoteBibliography"/>
        <w:spacing w:after="0"/>
        <w:ind w:left="720" w:hanging="720"/>
      </w:pPr>
      <w:r w:rsidRPr="00EC419C">
        <w:t xml:space="preserve">Cohen, J., Jones, J., Furtado, J. C., &amp; Tziperman, E. (2013). Warm Arctic, cold continents: A common pattern related to Arctic sea ice melt, snow advance, and extreme winter weather. </w:t>
      </w:r>
      <w:r w:rsidRPr="00EC419C">
        <w:rPr>
          <w:i/>
        </w:rPr>
        <w:t>Oceanography</w:t>
      </w:r>
      <w:r w:rsidRPr="00EC419C">
        <w:t>,</w:t>
      </w:r>
      <w:r w:rsidRPr="00EC419C">
        <w:rPr>
          <w:i/>
        </w:rPr>
        <w:t xml:space="preserve"> 26</w:t>
      </w:r>
      <w:r w:rsidRPr="00EC419C">
        <w:t xml:space="preserve">(4), 150-160. </w:t>
      </w:r>
    </w:p>
    <w:p w14:paraId="73B2C150" w14:textId="77777777" w:rsidR="00230609" w:rsidRPr="00EC419C" w:rsidRDefault="00230609" w:rsidP="00230609">
      <w:pPr>
        <w:pStyle w:val="EndNoteBibliography"/>
        <w:spacing w:after="0"/>
        <w:ind w:left="720" w:hanging="720"/>
      </w:pPr>
      <w:r w:rsidRPr="00EC419C">
        <w:t xml:space="preserve">Cohen, J., Pfeiffer, K., &amp; Francis, J. A. (2018). Warm Arctic episodes linked with increased frequency of extreme winter weather in the United States. </w:t>
      </w:r>
      <w:r w:rsidRPr="00EC419C">
        <w:rPr>
          <w:i/>
        </w:rPr>
        <w:t>Nature Communications</w:t>
      </w:r>
      <w:r w:rsidRPr="00EC419C">
        <w:t>,</w:t>
      </w:r>
      <w:r w:rsidRPr="00EC419C">
        <w:rPr>
          <w:i/>
        </w:rPr>
        <w:t xml:space="preserve"> 9</w:t>
      </w:r>
      <w:r w:rsidRPr="00EC419C">
        <w:t xml:space="preserve">(1), 869. </w:t>
      </w:r>
      <w:hyperlink r:id="rId21" w:history="1">
        <w:r w:rsidRPr="00EC419C">
          <w:rPr>
            <w:rStyle w:val="Hyperlink"/>
          </w:rPr>
          <w:t>https://doi.org/10.1038/s41467-018-02992-9</w:t>
        </w:r>
      </w:hyperlink>
      <w:r w:rsidRPr="00EC419C">
        <w:t xml:space="preserve"> </w:t>
      </w:r>
    </w:p>
    <w:p w14:paraId="2BAF128C" w14:textId="77777777" w:rsidR="00230609" w:rsidRPr="00EC419C" w:rsidRDefault="00230609" w:rsidP="00230609">
      <w:pPr>
        <w:pStyle w:val="EndNoteBibliography"/>
        <w:spacing w:after="0"/>
        <w:ind w:left="720" w:hanging="720"/>
      </w:pPr>
      <w:r w:rsidRPr="00EC419C">
        <w:t xml:space="preserve">Connolly, B. M., &amp; Orrock, J. L. (2015). Climatic variation and seed persistence: Freeze–thaw cycles lower survival via the joint action of abiotic stress and fungal pathogens. </w:t>
      </w:r>
      <w:r w:rsidRPr="00EC419C">
        <w:rPr>
          <w:i/>
        </w:rPr>
        <w:t>Oecologia</w:t>
      </w:r>
      <w:r w:rsidRPr="00EC419C">
        <w:t>,</w:t>
      </w:r>
      <w:r w:rsidRPr="00EC419C">
        <w:rPr>
          <w:i/>
        </w:rPr>
        <w:t xml:space="preserve"> 179</w:t>
      </w:r>
      <w:r w:rsidRPr="00EC419C">
        <w:t xml:space="preserve">(2), 609-616. </w:t>
      </w:r>
      <w:hyperlink r:id="rId22" w:history="1">
        <w:r w:rsidRPr="00EC419C">
          <w:rPr>
            <w:rStyle w:val="Hyperlink"/>
          </w:rPr>
          <w:t>https://doi.org/10.1007/s00442-015-3369-4</w:t>
        </w:r>
      </w:hyperlink>
      <w:r w:rsidRPr="00EC419C">
        <w:t xml:space="preserve"> </w:t>
      </w:r>
    </w:p>
    <w:p w14:paraId="766761B1" w14:textId="77777777" w:rsidR="00230609" w:rsidRPr="00EC419C" w:rsidRDefault="00230609" w:rsidP="00230609">
      <w:pPr>
        <w:pStyle w:val="EndNoteBibliography"/>
        <w:spacing w:after="0"/>
        <w:ind w:left="720" w:hanging="720"/>
      </w:pPr>
      <w:r w:rsidRPr="00EC419C">
        <w:t xml:space="preserve">Contosta, A. R., Casson, N. J., Nelson, S. J., &amp; Garlick, S. (2020). Defining frigid winter illuminates its loss across seasonally snow-covered areas of eastern North America. </w:t>
      </w:r>
      <w:r w:rsidRPr="00EC419C">
        <w:rPr>
          <w:i/>
        </w:rPr>
        <w:t>Environmental Research Letters</w:t>
      </w:r>
      <w:r w:rsidRPr="00EC419C">
        <w:t>,</w:t>
      </w:r>
      <w:r w:rsidRPr="00EC419C">
        <w:rPr>
          <w:i/>
        </w:rPr>
        <w:t xml:space="preserve"> 15</w:t>
      </w:r>
      <w:r w:rsidRPr="00EC419C">
        <w:t xml:space="preserve">(3), 034020. </w:t>
      </w:r>
      <w:hyperlink r:id="rId23" w:history="1">
        <w:r w:rsidRPr="00EC419C">
          <w:rPr>
            <w:rStyle w:val="Hyperlink"/>
          </w:rPr>
          <w:t>https://doi.org/10.1088/1748-9326/ab54f3</w:t>
        </w:r>
      </w:hyperlink>
      <w:r w:rsidRPr="00EC419C">
        <w:t xml:space="preserve"> </w:t>
      </w:r>
    </w:p>
    <w:p w14:paraId="771BC586" w14:textId="77777777" w:rsidR="00230609" w:rsidRPr="00EC419C" w:rsidRDefault="00230609" w:rsidP="00230609">
      <w:pPr>
        <w:pStyle w:val="EndNoteBibliography"/>
        <w:spacing w:after="0"/>
        <w:ind w:left="720" w:hanging="720"/>
      </w:pPr>
      <w:r w:rsidRPr="00EC419C">
        <w:t xml:space="preserve">Cordeau, S., Smith, R. G., Gallandt, E. R., Brown, B., Salon, P., DiTommaso, A., &amp; Ryan, M. R. (2017). How do weeds differ in their response to the timing of tillage? A study of 61 species across the northeastern United States. </w:t>
      </w:r>
      <w:r w:rsidRPr="00EC419C">
        <w:rPr>
          <w:i/>
        </w:rPr>
        <w:t>Annals of Applied Biology</w:t>
      </w:r>
      <w:r w:rsidRPr="00EC419C">
        <w:t>,</w:t>
      </w:r>
      <w:r w:rsidRPr="00EC419C">
        <w:rPr>
          <w:i/>
        </w:rPr>
        <w:t xml:space="preserve"> 171</w:t>
      </w:r>
      <w:r w:rsidRPr="00EC419C">
        <w:t xml:space="preserve">(3), 340-352. </w:t>
      </w:r>
      <w:hyperlink r:id="rId24" w:history="1">
        <w:r w:rsidRPr="00EC419C">
          <w:rPr>
            <w:rStyle w:val="Hyperlink"/>
          </w:rPr>
          <w:t>https://doi.org/10.1111/aab.12377</w:t>
        </w:r>
      </w:hyperlink>
      <w:r w:rsidRPr="00EC419C">
        <w:t xml:space="preserve"> </w:t>
      </w:r>
    </w:p>
    <w:p w14:paraId="7F759A31" w14:textId="77777777" w:rsidR="00230609" w:rsidRPr="00EC419C" w:rsidRDefault="00230609" w:rsidP="00230609">
      <w:pPr>
        <w:pStyle w:val="EndNoteBibliography"/>
        <w:spacing w:after="0"/>
        <w:ind w:left="720" w:hanging="720"/>
      </w:pPr>
      <w:r w:rsidRPr="00EC419C">
        <w:t xml:space="preserve">Dauer, J. T., Scott, B. A., VanGessel, M. J., &amp; Mortensen, D. A. (2007). </w:t>
      </w:r>
      <w:r w:rsidRPr="00EC419C">
        <w:rPr>
          <w:i/>
        </w:rPr>
        <w:t>Effects of emergence periodicity on growth and fecundity of horseweed [Poster].</w:t>
      </w:r>
      <w:r w:rsidRPr="00EC419C">
        <w:t xml:space="preserve"> Proceedings of the Sixty-first Annual Meeting of the Northeastern Weed Science Society, Baltimore, MD. </w:t>
      </w:r>
      <w:hyperlink r:id="rId25" w:history="1">
        <w:r w:rsidRPr="00EC419C">
          <w:rPr>
            <w:rStyle w:val="Hyperlink"/>
          </w:rPr>
          <w:t>https://www.newss.org/proceedings/proceedings_2007.pdf</w:t>
        </w:r>
      </w:hyperlink>
    </w:p>
    <w:p w14:paraId="5DA93506" w14:textId="77777777" w:rsidR="00230609" w:rsidRPr="00EC419C" w:rsidRDefault="00230609" w:rsidP="00230609">
      <w:pPr>
        <w:pStyle w:val="EndNoteBibliography"/>
        <w:spacing w:after="0"/>
        <w:ind w:left="720" w:hanging="720"/>
      </w:pPr>
      <w:r w:rsidRPr="00EC419C">
        <w:t xml:space="preserve">Davis, A. (2006). When does it make sense to target the weed seed bank? </w:t>
      </w:r>
      <w:r w:rsidRPr="00EC419C">
        <w:rPr>
          <w:i/>
        </w:rPr>
        <w:t>Weed Science</w:t>
      </w:r>
      <w:r w:rsidRPr="00EC419C">
        <w:t>,</w:t>
      </w:r>
      <w:r w:rsidRPr="00EC419C">
        <w:rPr>
          <w:i/>
        </w:rPr>
        <w:t xml:space="preserve"> 54</w:t>
      </w:r>
      <w:r w:rsidRPr="00EC419C">
        <w:t xml:space="preserve">(3), 558-565. </w:t>
      </w:r>
      <w:hyperlink r:id="rId26" w:history="1">
        <w:r w:rsidRPr="00EC419C">
          <w:rPr>
            <w:rStyle w:val="Hyperlink"/>
          </w:rPr>
          <w:t>https://doi.org/10.1614/WS-05-058R.1</w:t>
        </w:r>
      </w:hyperlink>
      <w:r w:rsidRPr="00EC419C">
        <w:t xml:space="preserve"> </w:t>
      </w:r>
    </w:p>
    <w:p w14:paraId="3F63FE52" w14:textId="77777777" w:rsidR="00230609" w:rsidRPr="00EC419C" w:rsidRDefault="00230609" w:rsidP="00230609">
      <w:pPr>
        <w:pStyle w:val="EndNoteBibliography"/>
        <w:spacing w:after="0"/>
        <w:ind w:left="720" w:hanging="720"/>
      </w:pPr>
      <w:r w:rsidRPr="00EC419C">
        <w:t xml:space="preserve">Davis, A. S., Fu, X., Schutte, B. J., Berhow, M. A., &amp; Dalling, J. W. (2016). Interspecific variation in persistence of buried weed seeds follows trade-offs among physiological, chemical, and physical seed defenses. </w:t>
      </w:r>
      <w:r w:rsidRPr="00EC419C">
        <w:rPr>
          <w:i/>
        </w:rPr>
        <w:t>Ecology and Evolution</w:t>
      </w:r>
      <w:r w:rsidRPr="00EC419C">
        <w:t>,</w:t>
      </w:r>
      <w:r w:rsidRPr="00EC419C">
        <w:rPr>
          <w:i/>
        </w:rPr>
        <w:t xml:space="preserve"> 6</w:t>
      </w:r>
      <w:r w:rsidRPr="00EC419C">
        <w:t xml:space="preserve">(19), 6836-6845. </w:t>
      </w:r>
      <w:hyperlink r:id="rId27" w:history="1">
        <w:r w:rsidRPr="00EC419C">
          <w:rPr>
            <w:rStyle w:val="Hyperlink"/>
          </w:rPr>
          <w:t>https://doi.org/10.1002/ece3.2415</w:t>
        </w:r>
      </w:hyperlink>
      <w:r w:rsidRPr="00EC419C">
        <w:t xml:space="preserve"> </w:t>
      </w:r>
    </w:p>
    <w:p w14:paraId="7A207324" w14:textId="77777777" w:rsidR="00230609" w:rsidRPr="00EC419C" w:rsidRDefault="00230609" w:rsidP="00230609">
      <w:pPr>
        <w:pStyle w:val="EndNoteBibliography"/>
        <w:spacing w:after="0"/>
        <w:ind w:left="720" w:hanging="720"/>
      </w:pPr>
      <w:r w:rsidRPr="00EC419C">
        <w:t xml:space="preserve">Dwyer, J. M., &amp; Erickson, T. E. (2016). Warmer seed environments increase germination fractions in Australian winter annual plant species. </w:t>
      </w:r>
      <w:r w:rsidRPr="00EC419C">
        <w:rPr>
          <w:i/>
        </w:rPr>
        <w:t>Ecosphere</w:t>
      </w:r>
      <w:r w:rsidRPr="00EC419C">
        <w:t>,</w:t>
      </w:r>
      <w:r w:rsidRPr="00EC419C">
        <w:rPr>
          <w:i/>
        </w:rPr>
        <w:t xml:space="preserve"> 7</w:t>
      </w:r>
      <w:r w:rsidRPr="00EC419C">
        <w:t xml:space="preserve">(10), e01497. </w:t>
      </w:r>
      <w:hyperlink r:id="rId28" w:history="1">
        <w:r w:rsidRPr="00EC419C">
          <w:rPr>
            <w:rStyle w:val="Hyperlink"/>
          </w:rPr>
          <w:t>https://doi.org/10.1002/ecs2.1497</w:t>
        </w:r>
      </w:hyperlink>
      <w:r w:rsidRPr="00EC419C">
        <w:t xml:space="preserve"> </w:t>
      </w:r>
    </w:p>
    <w:p w14:paraId="49EE26BC" w14:textId="77777777" w:rsidR="00230609" w:rsidRPr="00EC419C" w:rsidRDefault="00230609" w:rsidP="00230609">
      <w:pPr>
        <w:pStyle w:val="EndNoteBibliography"/>
        <w:spacing w:after="0"/>
        <w:ind w:left="720" w:hanging="720"/>
      </w:pPr>
      <w:r w:rsidRPr="00EC419C">
        <w:lastRenderedPageBreak/>
        <w:t xml:space="preserve">Francis, J., &amp; Skific, N. (2015). Evidence linking rapid Arctic warming to mid-latitude weather patterns. </w:t>
      </w:r>
      <w:r w:rsidRPr="00EC419C">
        <w:rPr>
          <w:i/>
        </w:rPr>
        <w:t>Philosophical Transactions of the Royal Society A: Mathematical, Physical and Engineering Sciences</w:t>
      </w:r>
      <w:r w:rsidRPr="00EC419C">
        <w:t>,</w:t>
      </w:r>
      <w:r w:rsidRPr="00EC419C">
        <w:rPr>
          <w:i/>
        </w:rPr>
        <w:t xml:space="preserve"> 373</w:t>
      </w:r>
      <w:r w:rsidRPr="00EC419C">
        <w:t xml:space="preserve">(2045), 20140170. </w:t>
      </w:r>
      <w:hyperlink r:id="rId29" w:history="1">
        <w:r w:rsidRPr="00EC419C">
          <w:rPr>
            <w:rStyle w:val="Hyperlink"/>
          </w:rPr>
          <w:t>https://doi.org/10.1098/rsta.2014.0170</w:t>
        </w:r>
      </w:hyperlink>
      <w:r w:rsidRPr="00EC419C">
        <w:t xml:space="preserve"> </w:t>
      </w:r>
    </w:p>
    <w:p w14:paraId="5050E179" w14:textId="77777777" w:rsidR="00230609" w:rsidRPr="00EC419C" w:rsidRDefault="00230609" w:rsidP="00230609">
      <w:pPr>
        <w:pStyle w:val="EndNoteBibliography"/>
        <w:spacing w:after="0"/>
        <w:ind w:left="720" w:hanging="720"/>
      </w:pPr>
      <w:r w:rsidRPr="00EC419C">
        <w:t>Goplen, J. J., Sheaffer, C. C., Becker, R. L., Moon, R. D., Coulter, J. A., Breitenbach, F. R., Behnken, L. M., &amp; Gunsolus, J. L. (2018). Giant ragweed (</w:t>
      </w:r>
      <w:r w:rsidRPr="00EC419C">
        <w:rPr>
          <w:i/>
        </w:rPr>
        <w:t>Ambrosia trifida</w:t>
      </w:r>
      <w:r w:rsidRPr="00EC419C">
        <w:t xml:space="preserve">) emergence model performance evaluated in diverse cropping systems. </w:t>
      </w:r>
      <w:r w:rsidRPr="00EC419C">
        <w:rPr>
          <w:i/>
        </w:rPr>
        <w:t>Weed Science</w:t>
      </w:r>
      <w:r w:rsidRPr="00EC419C">
        <w:t>,</w:t>
      </w:r>
      <w:r w:rsidRPr="00EC419C">
        <w:rPr>
          <w:i/>
        </w:rPr>
        <w:t xml:space="preserve"> 66</w:t>
      </w:r>
      <w:r w:rsidRPr="00EC419C">
        <w:t xml:space="preserve">(1), 36-46. </w:t>
      </w:r>
      <w:hyperlink r:id="rId30" w:history="1">
        <w:r w:rsidRPr="00EC419C">
          <w:rPr>
            <w:rStyle w:val="Hyperlink"/>
          </w:rPr>
          <w:t>https://doi.org/10.1017/wsc.2017.38</w:t>
        </w:r>
      </w:hyperlink>
      <w:r w:rsidRPr="00EC419C">
        <w:t xml:space="preserve"> </w:t>
      </w:r>
    </w:p>
    <w:p w14:paraId="49E6BD5E" w14:textId="77777777" w:rsidR="00230609" w:rsidRPr="00EC419C" w:rsidRDefault="00230609" w:rsidP="00230609">
      <w:pPr>
        <w:pStyle w:val="EndNoteBibliography"/>
        <w:spacing w:after="0"/>
        <w:ind w:left="720" w:hanging="720"/>
      </w:pPr>
      <w:r w:rsidRPr="00EC419C">
        <w:t xml:space="preserve">Green, J., Witt, W., &amp; Martin, J. (2006). Weed management in grass pastures, hayfields, and other farmstead sites. University of Kentucky Extension Service AGR-172. </w:t>
      </w:r>
    </w:p>
    <w:p w14:paraId="33FB93E5" w14:textId="77777777" w:rsidR="00230609" w:rsidRPr="00EC419C" w:rsidRDefault="00230609" w:rsidP="00230609">
      <w:pPr>
        <w:pStyle w:val="EndNoteBibliography"/>
        <w:spacing w:after="0"/>
        <w:ind w:left="720" w:hanging="720"/>
      </w:pPr>
      <w:r w:rsidRPr="00EC419C">
        <w:t>Grekul, C. W., &amp; Bork, E. W. (2004). Herbage yield losses in perennial pasture due to Canada thistle (</w:t>
      </w:r>
      <w:r w:rsidRPr="00EC419C">
        <w:rPr>
          <w:i/>
        </w:rPr>
        <w:t>Cirsium arvense</w:t>
      </w:r>
      <w:r w:rsidRPr="00EC419C">
        <w:t xml:space="preserve">). </w:t>
      </w:r>
      <w:r w:rsidRPr="00EC419C">
        <w:rPr>
          <w:i/>
        </w:rPr>
        <w:t>Weed Technology</w:t>
      </w:r>
      <w:r w:rsidRPr="00EC419C">
        <w:t>,</w:t>
      </w:r>
      <w:r w:rsidRPr="00EC419C">
        <w:rPr>
          <w:i/>
        </w:rPr>
        <w:t xml:space="preserve"> 18</w:t>
      </w:r>
      <w:r w:rsidRPr="00EC419C">
        <w:t xml:space="preserve">(3), 784-794. </w:t>
      </w:r>
      <w:hyperlink r:id="rId31" w:history="1">
        <w:r w:rsidRPr="00EC419C">
          <w:rPr>
            <w:rStyle w:val="Hyperlink"/>
          </w:rPr>
          <w:t>https://doi.org/10.1614/WT-03-196R</w:t>
        </w:r>
      </w:hyperlink>
      <w:r w:rsidRPr="00EC419C">
        <w:t xml:space="preserve"> </w:t>
      </w:r>
    </w:p>
    <w:p w14:paraId="55657C60" w14:textId="77777777" w:rsidR="00230609" w:rsidRPr="00EC419C" w:rsidRDefault="00230609" w:rsidP="00230609">
      <w:pPr>
        <w:pStyle w:val="EndNoteBibliography"/>
        <w:spacing w:after="0"/>
        <w:ind w:left="720" w:hanging="720"/>
      </w:pPr>
      <w:r w:rsidRPr="00EC419C">
        <w:t xml:space="preserve">Grime, J. P. (1977). Evidence for the existence of three primary strategies in plants and its relevance to ecological and evolutionary theory. </w:t>
      </w:r>
      <w:r w:rsidRPr="00EC419C">
        <w:rPr>
          <w:i/>
        </w:rPr>
        <w:t>The American Naturalist</w:t>
      </w:r>
      <w:r w:rsidRPr="00EC419C">
        <w:t>,</w:t>
      </w:r>
      <w:r w:rsidRPr="00EC419C">
        <w:rPr>
          <w:i/>
        </w:rPr>
        <w:t xml:space="preserve"> 111</w:t>
      </w:r>
      <w:r w:rsidRPr="00EC419C">
        <w:t xml:space="preserve">(982), 1169-1194. </w:t>
      </w:r>
      <w:hyperlink r:id="rId32" w:history="1">
        <w:r w:rsidRPr="00EC419C">
          <w:rPr>
            <w:rStyle w:val="Hyperlink"/>
          </w:rPr>
          <w:t>https://doi.org/10.1086/283244</w:t>
        </w:r>
      </w:hyperlink>
      <w:r w:rsidRPr="00EC419C">
        <w:t xml:space="preserve"> </w:t>
      </w:r>
    </w:p>
    <w:p w14:paraId="316153F4" w14:textId="77777777" w:rsidR="00230609" w:rsidRPr="00EC419C" w:rsidRDefault="00230609" w:rsidP="00230609">
      <w:pPr>
        <w:pStyle w:val="EndNoteBibliography"/>
        <w:spacing w:after="0"/>
        <w:ind w:left="720" w:hanging="720"/>
      </w:pPr>
      <w:r w:rsidRPr="00EC419C">
        <w:t xml:space="preserve">Gutterman, Y. (2000). Maternal effects on seeds during development. In M. Fenner (Ed.), </w:t>
      </w:r>
      <w:r w:rsidRPr="00EC419C">
        <w:rPr>
          <w:i/>
        </w:rPr>
        <w:t>Seeds: The Ecology of Regeneration in Plant Communities</w:t>
      </w:r>
      <w:r w:rsidRPr="00EC419C">
        <w:t xml:space="preserve"> (2nd ed., pp. 59-84). CAB International. </w:t>
      </w:r>
      <w:hyperlink r:id="rId33" w:history="1">
        <w:r w:rsidRPr="00EC419C">
          <w:rPr>
            <w:rStyle w:val="Hyperlink"/>
          </w:rPr>
          <w:t>https://doi.org/10.1079/9780851994321.0059</w:t>
        </w:r>
      </w:hyperlink>
      <w:r w:rsidRPr="00EC419C">
        <w:t xml:space="preserve"> </w:t>
      </w:r>
    </w:p>
    <w:p w14:paraId="7DDE92C0" w14:textId="77777777" w:rsidR="00230609" w:rsidRPr="00EC419C" w:rsidRDefault="00230609" w:rsidP="00230609">
      <w:pPr>
        <w:pStyle w:val="EndNoteBibliography"/>
        <w:spacing w:after="0"/>
        <w:ind w:left="720" w:hanging="720"/>
      </w:pPr>
      <w:r w:rsidRPr="00EC419C">
        <w:t>Hartzler, R. G., Battles, B. A., &amp; Nordby, D. (2004). Effect of common waterhemp (</w:t>
      </w:r>
      <w:r w:rsidRPr="00EC419C">
        <w:rPr>
          <w:i/>
        </w:rPr>
        <w:t>Amaranthus rudis</w:t>
      </w:r>
      <w:r w:rsidRPr="00EC419C">
        <w:t xml:space="preserve">) emergence date on growth and fecundity in soybean. </w:t>
      </w:r>
      <w:r w:rsidRPr="00EC419C">
        <w:rPr>
          <w:i/>
        </w:rPr>
        <w:t>Weed Science</w:t>
      </w:r>
      <w:r w:rsidRPr="00EC419C">
        <w:t>,</w:t>
      </w:r>
      <w:r w:rsidRPr="00EC419C">
        <w:rPr>
          <w:i/>
        </w:rPr>
        <w:t xml:space="preserve"> 52</w:t>
      </w:r>
      <w:r w:rsidRPr="00EC419C">
        <w:t xml:space="preserve">(2), 242-245. </w:t>
      </w:r>
      <w:hyperlink r:id="rId34" w:history="1">
        <w:r w:rsidRPr="00EC419C">
          <w:rPr>
            <w:rStyle w:val="Hyperlink"/>
          </w:rPr>
          <w:t>https://doi.org/10.1614/WS-03-004R</w:t>
        </w:r>
      </w:hyperlink>
      <w:r w:rsidRPr="00EC419C">
        <w:t xml:space="preserve"> </w:t>
      </w:r>
    </w:p>
    <w:p w14:paraId="5EB0CB28" w14:textId="77777777" w:rsidR="00230609" w:rsidRPr="00EC419C" w:rsidRDefault="00230609" w:rsidP="00230609">
      <w:pPr>
        <w:pStyle w:val="EndNoteBibliography"/>
        <w:spacing w:after="0"/>
        <w:ind w:left="720" w:hanging="720"/>
      </w:pPr>
      <w:r w:rsidRPr="00EC419C">
        <w:t xml:space="preserve">Hatfield, J., Takle, G., Grotjahn, R., Holden, P., Izaurralde, R. C., Mader, T., Marshall, E., &amp; Liverman, D. (2014). Chapter 6. Agriculture. In J. M. Melillo, T. C. Richmond, &amp; G. W. Yohe (Eds.), </w:t>
      </w:r>
      <w:r w:rsidRPr="00EC419C">
        <w:rPr>
          <w:i/>
        </w:rPr>
        <w:t>Climate Change Impacts in the United States: The Third National Climate Assessment</w:t>
      </w:r>
      <w:r w:rsidRPr="00EC419C">
        <w:t xml:space="preserve"> (pp. 150-174). U.S. Global Change Research Program. </w:t>
      </w:r>
      <w:hyperlink r:id="rId35" w:history="1">
        <w:r w:rsidRPr="00EC419C">
          <w:rPr>
            <w:rStyle w:val="Hyperlink"/>
          </w:rPr>
          <w:t>https://doi.org/10.7930/J02Z13FR</w:t>
        </w:r>
      </w:hyperlink>
      <w:r w:rsidRPr="00EC419C">
        <w:t xml:space="preserve"> </w:t>
      </w:r>
    </w:p>
    <w:p w14:paraId="3F6E9DAA" w14:textId="77777777" w:rsidR="00230609" w:rsidRPr="00EC419C" w:rsidRDefault="00230609" w:rsidP="00230609">
      <w:pPr>
        <w:pStyle w:val="EndNoteBibliography"/>
        <w:spacing w:after="0"/>
        <w:ind w:left="720" w:hanging="720"/>
      </w:pPr>
      <w:r w:rsidRPr="00EC419C">
        <w:t xml:space="preserve">Hatfield, J. L., Boote, K. J., Kimball, B. A., Ziska, L. H., Izaurralde, R. C., Ort, D., Thomson, A. M., &amp; Wolfe, D. (2011). Climate impacts on agriculture: Implications for crop production. </w:t>
      </w:r>
      <w:r w:rsidRPr="00EC419C">
        <w:rPr>
          <w:i/>
        </w:rPr>
        <w:t>Agronomy Journal</w:t>
      </w:r>
      <w:r w:rsidRPr="00EC419C">
        <w:t>,</w:t>
      </w:r>
      <w:r w:rsidRPr="00EC419C">
        <w:rPr>
          <w:i/>
        </w:rPr>
        <w:t xml:space="preserve"> 103</w:t>
      </w:r>
      <w:r w:rsidRPr="00EC419C">
        <w:t xml:space="preserve">(2), 351-370. </w:t>
      </w:r>
      <w:hyperlink r:id="rId36" w:history="1">
        <w:r w:rsidRPr="00EC419C">
          <w:rPr>
            <w:rStyle w:val="Hyperlink"/>
          </w:rPr>
          <w:t>https://doi.org/10.2134/agronj2010.0303</w:t>
        </w:r>
      </w:hyperlink>
      <w:r w:rsidRPr="00EC419C">
        <w:t xml:space="preserve"> </w:t>
      </w:r>
    </w:p>
    <w:p w14:paraId="11A35E53" w14:textId="77777777" w:rsidR="00230609" w:rsidRPr="00EC419C" w:rsidRDefault="00230609" w:rsidP="00230609">
      <w:pPr>
        <w:pStyle w:val="EndNoteBibliography"/>
        <w:spacing w:after="0"/>
        <w:ind w:left="720" w:hanging="720"/>
      </w:pPr>
      <w:r w:rsidRPr="00EC419C">
        <w:t xml:space="preserve">Hayhoe, K., Wake, C. P., Huntington, T. G., Luo, L., Schwartz, M. D., Sheffield, J., Wood, E., Anderson, B., Bradbury, J., DeGaetano, A., Troy, T. J., &amp; Wolfe, D. (2007). Past and future changes in climate and hydrological indicators in the US Northeast. </w:t>
      </w:r>
      <w:r w:rsidRPr="00EC419C">
        <w:rPr>
          <w:i/>
        </w:rPr>
        <w:t>Climate Dynamics</w:t>
      </w:r>
      <w:r w:rsidRPr="00EC419C">
        <w:t>,</w:t>
      </w:r>
      <w:r w:rsidRPr="00EC419C">
        <w:rPr>
          <w:i/>
        </w:rPr>
        <w:t xml:space="preserve"> 28</w:t>
      </w:r>
      <w:r w:rsidRPr="00EC419C">
        <w:t xml:space="preserve">(4), 381-407. </w:t>
      </w:r>
      <w:hyperlink r:id="rId37" w:history="1">
        <w:r w:rsidRPr="00EC419C">
          <w:rPr>
            <w:rStyle w:val="Hyperlink"/>
          </w:rPr>
          <w:t>https://doi.org/10.1007/s00382-006-0187-8</w:t>
        </w:r>
      </w:hyperlink>
      <w:r w:rsidRPr="00EC419C">
        <w:t xml:space="preserve"> </w:t>
      </w:r>
    </w:p>
    <w:p w14:paraId="43664848" w14:textId="77777777" w:rsidR="00230609" w:rsidRPr="00EC419C" w:rsidRDefault="00230609" w:rsidP="00230609">
      <w:pPr>
        <w:pStyle w:val="EndNoteBibliography"/>
        <w:spacing w:after="0"/>
        <w:ind w:left="720" w:hanging="720"/>
      </w:pPr>
      <w:r w:rsidRPr="00EC419C">
        <w:t xml:space="preserve">Heap, I. (2023). </w:t>
      </w:r>
      <w:r w:rsidRPr="00EC419C">
        <w:rPr>
          <w:i/>
        </w:rPr>
        <w:t>The International Herbicide-Resistant Weed Database</w:t>
      </w:r>
      <w:r w:rsidRPr="00EC419C">
        <w:t xml:space="preserve">. </w:t>
      </w:r>
      <w:hyperlink r:id="rId38" w:history="1">
        <w:r w:rsidRPr="00EC419C">
          <w:rPr>
            <w:rStyle w:val="Hyperlink"/>
          </w:rPr>
          <w:t>http://weedscience.org</w:t>
        </w:r>
      </w:hyperlink>
    </w:p>
    <w:p w14:paraId="45EFB97D" w14:textId="77777777" w:rsidR="00230609" w:rsidRPr="00EC419C" w:rsidRDefault="00230609" w:rsidP="00230609">
      <w:pPr>
        <w:pStyle w:val="EndNoteBibliography"/>
        <w:spacing w:after="0"/>
        <w:ind w:left="720" w:hanging="720"/>
      </w:pPr>
      <w:r w:rsidRPr="00EC419C">
        <w:t xml:space="preserve">Henry, H. A. L. (2008). Climate change and soil freezing dynamics: Historical trends and projected changes. </w:t>
      </w:r>
      <w:r w:rsidRPr="00EC419C">
        <w:rPr>
          <w:i/>
        </w:rPr>
        <w:t>Climatic Change</w:t>
      </w:r>
      <w:r w:rsidRPr="00EC419C">
        <w:t>,</w:t>
      </w:r>
      <w:r w:rsidRPr="00EC419C">
        <w:rPr>
          <w:i/>
        </w:rPr>
        <w:t xml:space="preserve"> 87</w:t>
      </w:r>
      <w:r w:rsidRPr="00EC419C">
        <w:t xml:space="preserve">(3), 421-434. </w:t>
      </w:r>
      <w:hyperlink r:id="rId39" w:history="1">
        <w:r w:rsidRPr="00EC419C">
          <w:rPr>
            <w:rStyle w:val="Hyperlink"/>
          </w:rPr>
          <w:t>https://doi.org/10.1007/s10584-007-9322-8</w:t>
        </w:r>
      </w:hyperlink>
      <w:r w:rsidRPr="00EC419C">
        <w:t xml:space="preserve"> </w:t>
      </w:r>
    </w:p>
    <w:p w14:paraId="18ABC741" w14:textId="77777777" w:rsidR="00230609" w:rsidRPr="00EC419C" w:rsidRDefault="00230609" w:rsidP="00230609">
      <w:pPr>
        <w:pStyle w:val="EndNoteBibliography"/>
        <w:spacing w:after="0"/>
        <w:ind w:left="720" w:hanging="720"/>
      </w:pPr>
      <w:r w:rsidRPr="00EC419C">
        <w:t>Jerkins, D., &amp; Ory, J. (2016).</w:t>
      </w:r>
      <w:r w:rsidRPr="00EC419C">
        <w:rPr>
          <w:i/>
        </w:rPr>
        <w:t xml:space="preserve"> National Organic Research Agenda</w:t>
      </w:r>
      <w:r w:rsidRPr="00EC419C">
        <w:t xml:space="preserve">. Organic Farming Research Foundation. </w:t>
      </w:r>
    </w:p>
    <w:p w14:paraId="1107D019" w14:textId="77777777" w:rsidR="00230609" w:rsidRPr="00EC419C" w:rsidRDefault="00230609" w:rsidP="00230609">
      <w:pPr>
        <w:pStyle w:val="EndNoteBibliography"/>
        <w:spacing w:after="0"/>
        <w:ind w:left="720" w:hanging="720"/>
      </w:pPr>
      <w:r w:rsidRPr="00EC419C">
        <w:t xml:space="preserve">Karmalkar, A. V., &amp; Bradley, R. S. (2017). Consequences of global warming of 1.5 °C and 2 °C for regional temperature and precipitation changes in the contiguous United States. </w:t>
      </w:r>
      <w:r w:rsidRPr="00EC419C">
        <w:rPr>
          <w:i/>
        </w:rPr>
        <w:t>PLoS ONE</w:t>
      </w:r>
      <w:r w:rsidRPr="00EC419C">
        <w:t>,</w:t>
      </w:r>
      <w:r w:rsidRPr="00EC419C">
        <w:rPr>
          <w:i/>
        </w:rPr>
        <w:t xml:space="preserve"> 12</w:t>
      </w:r>
      <w:r w:rsidRPr="00EC419C">
        <w:t xml:space="preserve">(1), e0168697. </w:t>
      </w:r>
      <w:hyperlink r:id="rId40" w:history="1">
        <w:r w:rsidRPr="00EC419C">
          <w:rPr>
            <w:rStyle w:val="Hyperlink"/>
          </w:rPr>
          <w:t>https://doi.org/10.1371/journal.pone.0168697</w:t>
        </w:r>
      </w:hyperlink>
      <w:r w:rsidRPr="00EC419C">
        <w:t xml:space="preserve"> </w:t>
      </w:r>
    </w:p>
    <w:p w14:paraId="73C70D7F" w14:textId="77777777" w:rsidR="00230609" w:rsidRPr="00EC419C" w:rsidRDefault="00230609" w:rsidP="00230609">
      <w:pPr>
        <w:pStyle w:val="EndNoteBibliography"/>
        <w:spacing w:after="0"/>
        <w:ind w:left="720" w:hanging="720"/>
      </w:pPr>
      <w:r w:rsidRPr="00EC419C">
        <w:t>Korres, N. E., Norsworthy, J. K., Young, B. G., Reynolds, D. B., Johnson, W. G., Conley, S. P., Smeda, R. J., Mueller, T. C., Spaunhorst, D. J., Gage, K. L., Loux, M., Kruger, G. R., &amp; Bagavathiannan, M. V. (2018). Seedbank persistence of Palmer amaranth (</w:t>
      </w:r>
      <w:r w:rsidRPr="00EC419C">
        <w:rPr>
          <w:i/>
        </w:rPr>
        <w:t>Amaranthus palmeri</w:t>
      </w:r>
      <w:r w:rsidRPr="00EC419C">
        <w:t>) and waterhemp (</w:t>
      </w:r>
      <w:r w:rsidRPr="00EC419C">
        <w:rPr>
          <w:i/>
        </w:rPr>
        <w:t>Amaranthus tuberculatus</w:t>
      </w:r>
      <w:r w:rsidRPr="00EC419C">
        <w:t xml:space="preserve">) across diverse geographical regions in the United States. </w:t>
      </w:r>
      <w:r w:rsidRPr="00EC419C">
        <w:rPr>
          <w:i/>
        </w:rPr>
        <w:t>Weed Science</w:t>
      </w:r>
      <w:r w:rsidRPr="00EC419C">
        <w:t>,</w:t>
      </w:r>
      <w:r w:rsidRPr="00EC419C">
        <w:rPr>
          <w:i/>
        </w:rPr>
        <w:t xml:space="preserve"> 66</w:t>
      </w:r>
      <w:r w:rsidRPr="00EC419C">
        <w:t xml:space="preserve">(4), 446-456. </w:t>
      </w:r>
      <w:hyperlink r:id="rId41" w:history="1">
        <w:r w:rsidRPr="00EC419C">
          <w:rPr>
            <w:rStyle w:val="Hyperlink"/>
          </w:rPr>
          <w:t>https://doi.org/10.1017/wsc.2018.27</w:t>
        </w:r>
      </w:hyperlink>
      <w:r w:rsidRPr="00EC419C">
        <w:t xml:space="preserve"> </w:t>
      </w:r>
    </w:p>
    <w:p w14:paraId="365DA6BE" w14:textId="77777777" w:rsidR="00230609" w:rsidRPr="00EC419C" w:rsidRDefault="00230609" w:rsidP="00230609">
      <w:pPr>
        <w:pStyle w:val="EndNoteBibliography"/>
        <w:spacing w:after="0"/>
        <w:ind w:left="720" w:hanging="720"/>
      </w:pPr>
      <w:r w:rsidRPr="00EC419C">
        <w:t xml:space="preserve">Kreyling, J., Beierkuhnlein, C., &amp; Jentsch, A. (2010). Effects of soil freeze-thaw cycles differ between experimental plant communities. </w:t>
      </w:r>
      <w:r w:rsidRPr="00EC419C">
        <w:rPr>
          <w:i/>
        </w:rPr>
        <w:t>Basic and Applied Ecology</w:t>
      </w:r>
      <w:r w:rsidRPr="00EC419C">
        <w:t>,</w:t>
      </w:r>
      <w:r w:rsidRPr="00EC419C">
        <w:rPr>
          <w:i/>
        </w:rPr>
        <w:t xml:space="preserve"> 11</w:t>
      </w:r>
      <w:r w:rsidRPr="00EC419C">
        <w:t xml:space="preserve">(1), 65-75. </w:t>
      </w:r>
      <w:hyperlink r:id="rId42" w:history="1">
        <w:r w:rsidRPr="00EC419C">
          <w:rPr>
            <w:rStyle w:val="Hyperlink"/>
          </w:rPr>
          <w:t>https://doi.org/10.1016/j.baae.2009.07.008</w:t>
        </w:r>
      </w:hyperlink>
      <w:r w:rsidRPr="00EC419C">
        <w:t xml:space="preserve"> </w:t>
      </w:r>
    </w:p>
    <w:p w14:paraId="41D28630" w14:textId="77777777" w:rsidR="00230609" w:rsidRPr="00EC419C" w:rsidRDefault="00230609" w:rsidP="00230609">
      <w:pPr>
        <w:pStyle w:val="EndNoteBibliography"/>
        <w:spacing w:after="0"/>
        <w:ind w:left="720" w:hanging="720"/>
      </w:pPr>
      <w:r w:rsidRPr="00EC419C">
        <w:lastRenderedPageBreak/>
        <w:t xml:space="preserve">Kug, J.-S., Jeong, J.-H., Jang, Y.-S., Kim, B.-M., Folland, C. K., Min, S.-K., &amp; Son, S.-W. (2015). Two distinct influences of Arctic warming on cold winters over North America and East Asia. </w:t>
      </w:r>
      <w:r w:rsidRPr="00EC419C">
        <w:rPr>
          <w:i/>
        </w:rPr>
        <w:t>Nature Geoscience</w:t>
      </w:r>
      <w:r w:rsidRPr="00EC419C">
        <w:t>,</w:t>
      </w:r>
      <w:r w:rsidRPr="00EC419C">
        <w:rPr>
          <w:i/>
        </w:rPr>
        <w:t xml:space="preserve"> 8</w:t>
      </w:r>
      <w:r w:rsidRPr="00EC419C">
        <w:t xml:space="preserve">(10), 759-762. </w:t>
      </w:r>
      <w:hyperlink r:id="rId43" w:history="1">
        <w:r w:rsidRPr="00EC419C">
          <w:rPr>
            <w:rStyle w:val="Hyperlink"/>
          </w:rPr>
          <w:t>https://doi.org/10.1038/ngeo2517</w:t>
        </w:r>
      </w:hyperlink>
      <w:r w:rsidRPr="00EC419C">
        <w:t xml:space="preserve"> </w:t>
      </w:r>
    </w:p>
    <w:p w14:paraId="4472BDFF" w14:textId="77777777" w:rsidR="00230609" w:rsidRPr="00EC419C" w:rsidRDefault="00230609" w:rsidP="00230609">
      <w:pPr>
        <w:pStyle w:val="EndNoteBibliography"/>
        <w:spacing w:after="0"/>
        <w:ind w:left="720" w:hanging="720"/>
      </w:pPr>
      <w:r w:rsidRPr="00EC419C">
        <w:t xml:space="preserve">Long, R. L., Gorecki, M. J., Renton, M., Scott, J. K., Colville, L., Goggin, D. E., Commander, L. E., Westcott, D. A., Cherry, H., &amp; Finch-Savage, W. E. (2015). The ecophysiology of seed persistence: A mechanistic view of the journey to germination or demise. </w:t>
      </w:r>
      <w:r w:rsidRPr="00EC419C">
        <w:rPr>
          <w:i/>
        </w:rPr>
        <w:t>Biological Reviews</w:t>
      </w:r>
      <w:r w:rsidRPr="00EC419C">
        <w:t>,</w:t>
      </w:r>
      <w:r w:rsidRPr="00EC419C">
        <w:rPr>
          <w:i/>
        </w:rPr>
        <w:t xml:space="preserve"> 90</w:t>
      </w:r>
      <w:r w:rsidRPr="00EC419C">
        <w:t xml:space="preserve">(1), 31-59. </w:t>
      </w:r>
      <w:hyperlink r:id="rId44" w:history="1">
        <w:r w:rsidRPr="00EC419C">
          <w:rPr>
            <w:rStyle w:val="Hyperlink"/>
          </w:rPr>
          <w:t>https://doi.org/10.1111/brv.12095</w:t>
        </w:r>
      </w:hyperlink>
      <w:r w:rsidRPr="00EC419C">
        <w:t xml:space="preserve"> </w:t>
      </w:r>
    </w:p>
    <w:p w14:paraId="00EFC252" w14:textId="77777777" w:rsidR="00230609" w:rsidRPr="00EC419C" w:rsidRDefault="00230609" w:rsidP="00230609">
      <w:pPr>
        <w:pStyle w:val="EndNoteBibliography"/>
        <w:spacing w:after="0"/>
        <w:ind w:left="720" w:hanging="720"/>
      </w:pPr>
      <w:r w:rsidRPr="00EC419C">
        <w:t xml:space="preserve">Lowry, C. J., &amp; Brainard, D. C. (2019). Strip intercropping of rye–vetch mixtures: Effects on weed growth and competition in strip-tilled sweet corn. </w:t>
      </w:r>
      <w:r w:rsidRPr="00EC419C">
        <w:rPr>
          <w:i/>
        </w:rPr>
        <w:t>Weed Science</w:t>
      </w:r>
      <w:r w:rsidRPr="00EC419C">
        <w:t>,</w:t>
      </w:r>
      <w:r w:rsidRPr="00EC419C">
        <w:rPr>
          <w:i/>
        </w:rPr>
        <w:t xml:space="preserve"> 67</w:t>
      </w:r>
      <w:r w:rsidRPr="00EC419C">
        <w:t xml:space="preserve">(1), 114-125. </w:t>
      </w:r>
      <w:hyperlink r:id="rId45" w:history="1">
        <w:r w:rsidRPr="00EC419C">
          <w:rPr>
            <w:rStyle w:val="Hyperlink"/>
          </w:rPr>
          <w:t>https://doi.org/10.1017/wsc.2018.83</w:t>
        </w:r>
      </w:hyperlink>
      <w:r w:rsidRPr="00EC419C">
        <w:t xml:space="preserve"> </w:t>
      </w:r>
    </w:p>
    <w:p w14:paraId="08FE7FBC" w14:textId="77777777" w:rsidR="00230609" w:rsidRPr="00EC419C" w:rsidRDefault="00230609" w:rsidP="00230609">
      <w:pPr>
        <w:pStyle w:val="EndNoteBibliography"/>
        <w:spacing w:after="0"/>
        <w:ind w:left="720" w:hanging="720"/>
      </w:pPr>
      <w:r w:rsidRPr="00EC419C">
        <w:t xml:space="preserve">Marion, G. M., Henry, G. H. R., Freckman, D. W., Johnstone, J., Jones, G., Jones, M. H., LÉVesque, E., Molau, U., MØLgaard, P., Parsons, A. N., J, S., &amp; Virginia, R. A. (1997). Open-top designs for manipulating field temperature in high-latitude ecosystems. </w:t>
      </w:r>
      <w:r w:rsidRPr="00EC419C">
        <w:rPr>
          <w:i/>
        </w:rPr>
        <w:t>Global Change Biology</w:t>
      </w:r>
      <w:r w:rsidRPr="00EC419C">
        <w:t>,</w:t>
      </w:r>
      <w:r w:rsidRPr="00EC419C">
        <w:rPr>
          <w:i/>
        </w:rPr>
        <w:t xml:space="preserve"> 3</w:t>
      </w:r>
      <w:r w:rsidRPr="00EC419C">
        <w:t xml:space="preserve">(S1), 20-32. </w:t>
      </w:r>
      <w:hyperlink r:id="rId46" w:history="1">
        <w:r w:rsidRPr="00EC419C">
          <w:rPr>
            <w:rStyle w:val="Hyperlink"/>
          </w:rPr>
          <w:t>https://doi.org/10.1111/j.1365-2486.1997.gcb136.x</w:t>
        </w:r>
      </w:hyperlink>
      <w:r w:rsidRPr="00EC419C">
        <w:t xml:space="preserve"> </w:t>
      </w:r>
    </w:p>
    <w:p w14:paraId="26770EC4" w14:textId="77777777" w:rsidR="00230609" w:rsidRPr="00EC419C" w:rsidRDefault="00230609" w:rsidP="00230609">
      <w:pPr>
        <w:pStyle w:val="EndNoteBibliography"/>
        <w:spacing w:after="0"/>
        <w:ind w:left="720" w:hanging="720"/>
      </w:pPr>
      <w:r w:rsidRPr="00EC419C">
        <w:t xml:space="preserve">Monahan, W. B., Rosemartin, A., Gerst, K. L., Fisichelli, N. A., Ault, T., Schwartz, M. D., Gross, J. E., &amp; Weltzin, J. F. (2016). Climate change is advancing spring onset across the U.S. national park system. </w:t>
      </w:r>
      <w:r w:rsidRPr="00EC419C">
        <w:rPr>
          <w:i/>
        </w:rPr>
        <w:t>Ecosphere</w:t>
      </w:r>
      <w:r w:rsidRPr="00EC419C">
        <w:t>,</w:t>
      </w:r>
      <w:r w:rsidRPr="00EC419C">
        <w:rPr>
          <w:i/>
        </w:rPr>
        <w:t xml:space="preserve"> 7</w:t>
      </w:r>
      <w:r w:rsidRPr="00EC419C">
        <w:t xml:space="preserve">(10), e01465. </w:t>
      </w:r>
      <w:hyperlink r:id="rId47" w:history="1">
        <w:r w:rsidRPr="00EC419C">
          <w:rPr>
            <w:rStyle w:val="Hyperlink"/>
          </w:rPr>
          <w:t>https://doi.org/10.1002/ecs2.1465</w:t>
        </w:r>
      </w:hyperlink>
      <w:r w:rsidRPr="00EC419C">
        <w:t xml:space="preserve"> </w:t>
      </w:r>
    </w:p>
    <w:p w14:paraId="407E2E69" w14:textId="77777777" w:rsidR="00230609" w:rsidRPr="00EC419C" w:rsidRDefault="00230609" w:rsidP="00230609">
      <w:pPr>
        <w:pStyle w:val="EndNoteBibliography"/>
        <w:spacing w:after="0"/>
        <w:ind w:left="720" w:hanging="720"/>
      </w:pPr>
      <w:r w:rsidRPr="00EC419C">
        <w:t xml:space="preserve">Myers, M. W., Curran, W. S., VanGessel, M. J., Calvin, D. D., Mortensen, D. A., Majek, B. A., Karsten, H. D., &amp; Roth, G. W. (2004). Predicting weed emergence for eight annual species in the northeastern United States. </w:t>
      </w:r>
      <w:r w:rsidRPr="00EC419C">
        <w:rPr>
          <w:i/>
        </w:rPr>
        <w:t>Weed Science</w:t>
      </w:r>
      <w:r w:rsidRPr="00EC419C">
        <w:t>,</w:t>
      </w:r>
      <w:r w:rsidRPr="00EC419C">
        <w:rPr>
          <w:i/>
        </w:rPr>
        <w:t xml:space="preserve"> 52</w:t>
      </w:r>
      <w:r w:rsidRPr="00EC419C">
        <w:t xml:space="preserve">(6), 913-919, 917. </w:t>
      </w:r>
      <w:hyperlink r:id="rId48" w:history="1">
        <w:r w:rsidRPr="00EC419C">
          <w:rPr>
            <w:rStyle w:val="Hyperlink"/>
          </w:rPr>
          <w:t>https://doi.org/10.1614/WS-04-025R</w:t>
        </w:r>
      </w:hyperlink>
      <w:r w:rsidRPr="00EC419C">
        <w:t xml:space="preserve"> </w:t>
      </w:r>
    </w:p>
    <w:p w14:paraId="43C752FD" w14:textId="77777777" w:rsidR="00230609" w:rsidRPr="00EC419C" w:rsidRDefault="00230609" w:rsidP="00230609">
      <w:pPr>
        <w:pStyle w:val="EndNoteBibliography"/>
        <w:spacing w:after="0"/>
        <w:ind w:left="720" w:hanging="720"/>
      </w:pPr>
      <w:r w:rsidRPr="00EC419C">
        <w:t xml:space="preserve">Myers, M. W., Curran, W. S., Vangessel, M. J., Majek, B. A., Mortensen, D. A., Calvin, D. D., Karsten, H. D., &amp; Roth, G. W. (2005). Effect of soil disturbance on annual weed emergence in the northeastern United States. </w:t>
      </w:r>
      <w:r w:rsidRPr="00EC419C">
        <w:rPr>
          <w:i/>
        </w:rPr>
        <w:t>Weed Technology</w:t>
      </w:r>
      <w:r w:rsidRPr="00EC419C">
        <w:t>,</w:t>
      </w:r>
      <w:r w:rsidRPr="00EC419C">
        <w:rPr>
          <w:i/>
        </w:rPr>
        <w:t xml:space="preserve"> 19</w:t>
      </w:r>
      <w:r w:rsidRPr="00EC419C">
        <w:t xml:space="preserve">(2), 274-282, 279. </w:t>
      </w:r>
      <w:hyperlink r:id="rId49" w:history="1">
        <w:r w:rsidRPr="00EC419C">
          <w:rPr>
            <w:rStyle w:val="Hyperlink"/>
          </w:rPr>
          <w:t>https://doi.org/10.1614/WT-03-242R1</w:t>
        </w:r>
      </w:hyperlink>
      <w:r w:rsidRPr="00EC419C">
        <w:t xml:space="preserve"> </w:t>
      </w:r>
    </w:p>
    <w:p w14:paraId="50C7982A" w14:textId="77777777" w:rsidR="00230609" w:rsidRPr="00EC419C" w:rsidRDefault="00230609" w:rsidP="00230609">
      <w:pPr>
        <w:pStyle w:val="EndNoteBibliography"/>
        <w:spacing w:after="0"/>
        <w:ind w:left="720" w:hanging="720"/>
      </w:pPr>
      <w:r w:rsidRPr="00EC419C">
        <w:t xml:space="preserve">Norsworthy, J. K., Ward, S. M., Shaw, D. R., Llewellyn, R. S., Nichols, R. L., Webster, T. M., Bradley, K. W., Frisvold, G., Powles, S. B., Burgos, N. R., Witt, W. W., &amp; Barrett, M. (2012). Reducing the risks of herbicide resistance: Best management practices and recommendations. </w:t>
      </w:r>
      <w:r w:rsidRPr="00EC419C">
        <w:rPr>
          <w:i/>
        </w:rPr>
        <w:t>Weed Science</w:t>
      </w:r>
      <w:r w:rsidRPr="00EC419C">
        <w:t>,</w:t>
      </w:r>
      <w:r w:rsidRPr="00EC419C">
        <w:rPr>
          <w:i/>
        </w:rPr>
        <w:t xml:space="preserve"> 60</w:t>
      </w:r>
      <w:r w:rsidRPr="00EC419C">
        <w:t xml:space="preserve">(sp1), 31-62. </w:t>
      </w:r>
      <w:hyperlink r:id="rId50" w:history="1">
        <w:r w:rsidRPr="00EC419C">
          <w:rPr>
            <w:rStyle w:val="Hyperlink"/>
          </w:rPr>
          <w:t>https://doi.org/10.1614/WS-D-11-00155.1</w:t>
        </w:r>
      </w:hyperlink>
      <w:r w:rsidRPr="00EC419C">
        <w:t xml:space="preserve"> </w:t>
      </w:r>
    </w:p>
    <w:p w14:paraId="14255E73" w14:textId="77777777" w:rsidR="00230609" w:rsidRPr="00EC419C" w:rsidRDefault="00230609" w:rsidP="00230609">
      <w:pPr>
        <w:pStyle w:val="EndNoteBibliography"/>
        <w:spacing w:after="0"/>
        <w:ind w:left="720" w:hanging="720"/>
      </w:pPr>
      <w:r w:rsidRPr="00EC419C">
        <w:t xml:space="preserve">Omami, E. N., Haigh, A. M., Medd, R. W., &amp; Nicol, H. I. (1999). Changes in germinability, dormancy and viability of </w:t>
      </w:r>
      <w:r w:rsidRPr="00EC419C">
        <w:rPr>
          <w:i/>
        </w:rPr>
        <w:t xml:space="preserve">Amaranthus retroflexus </w:t>
      </w:r>
      <w:r w:rsidRPr="00EC419C">
        <w:t xml:space="preserve">as affected by depth and duration of burial. </w:t>
      </w:r>
      <w:r w:rsidRPr="00EC419C">
        <w:rPr>
          <w:i/>
        </w:rPr>
        <w:t>Weed Research  39</w:t>
      </w:r>
      <w:r w:rsidRPr="00EC419C">
        <w:t xml:space="preserve">(5), 345-354. </w:t>
      </w:r>
      <w:hyperlink r:id="rId51" w:history="1">
        <w:r w:rsidRPr="00EC419C">
          <w:rPr>
            <w:rStyle w:val="Hyperlink"/>
          </w:rPr>
          <w:t>https://doi.org/10.1046/j.1365-3180.1999.00149.x</w:t>
        </w:r>
      </w:hyperlink>
      <w:r w:rsidRPr="00EC419C">
        <w:t xml:space="preserve"> </w:t>
      </w:r>
    </w:p>
    <w:p w14:paraId="78A5176C" w14:textId="77777777" w:rsidR="00230609" w:rsidRPr="00EC419C" w:rsidRDefault="00230609" w:rsidP="00230609">
      <w:pPr>
        <w:pStyle w:val="EndNoteBibliography"/>
        <w:spacing w:after="0"/>
        <w:ind w:left="720" w:hanging="720"/>
      </w:pPr>
      <w:r w:rsidRPr="00EC419C">
        <w:t xml:space="preserve">Overland, J. E., Dethloff, K., Francis, J. A., Hall, R. J., Hanna, E., Kim, S.-J., Screen, J. A., Shepherd, T. G., &amp; Vihma, T. (2016). Nonlinear response of mid-latitude weather to the changing Arctic. </w:t>
      </w:r>
      <w:r w:rsidRPr="00EC419C">
        <w:rPr>
          <w:i/>
        </w:rPr>
        <w:t>Nature Climate Change</w:t>
      </w:r>
      <w:r w:rsidRPr="00EC419C">
        <w:t>,</w:t>
      </w:r>
      <w:r w:rsidRPr="00EC419C">
        <w:rPr>
          <w:i/>
        </w:rPr>
        <w:t xml:space="preserve"> 6</w:t>
      </w:r>
      <w:r w:rsidRPr="00EC419C">
        <w:t xml:space="preserve">(11), 992-999. </w:t>
      </w:r>
      <w:hyperlink r:id="rId52" w:history="1">
        <w:r w:rsidRPr="00EC419C">
          <w:rPr>
            <w:rStyle w:val="Hyperlink"/>
          </w:rPr>
          <w:t>https://doi.org/10.1038/nclimate3121</w:t>
        </w:r>
      </w:hyperlink>
      <w:r w:rsidRPr="00EC419C">
        <w:t xml:space="preserve"> </w:t>
      </w:r>
    </w:p>
    <w:p w14:paraId="70808C88" w14:textId="77777777" w:rsidR="00230609" w:rsidRPr="00EC419C" w:rsidRDefault="00230609" w:rsidP="00230609">
      <w:pPr>
        <w:pStyle w:val="EndNoteBibliography"/>
        <w:spacing w:after="0"/>
        <w:ind w:left="720" w:hanging="720"/>
      </w:pPr>
      <w:r w:rsidRPr="00EC419C">
        <w:t xml:space="preserve">Overland, J. E., Wood, K. R., &amp; Wang, M. (2011). Warm Arctic—cold continents: climate impacts of the newly open Arctic Sea. </w:t>
      </w:r>
      <w:r w:rsidRPr="00EC419C">
        <w:rPr>
          <w:i/>
        </w:rPr>
        <w:t>Polar Research</w:t>
      </w:r>
      <w:r w:rsidRPr="00EC419C">
        <w:t>,</w:t>
      </w:r>
      <w:r w:rsidRPr="00EC419C">
        <w:rPr>
          <w:i/>
        </w:rPr>
        <w:t xml:space="preserve"> 30</w:t>
      </w:r>
      <w:r w:rsidRPr="00EC419C">
        <w:t xml:space="preserve">(1), 15787. </w:t>
      </w:r>
      <w:hyperlink r:id="rId53" w:history="1">
        <w:r w:rsidRPr="00EC419C">
          <w:rPr>
            <w:rStyle w:val="Hyperlink"/>
          </w:rPr>
          <w:t>https://doi.org/10.3402/polar.v30i0.15787</w:t>
        </w:r>
      </w:hyperlink>
      <w:r w:rsidRPr="00EC419C">
        <w:t xml:space="preserve"> </w:t>
      </w:r>
    </w:p>
    <w:p w14:paraId="0E9C38D1" w14:textId="77777777" w:rsidR="00230609" w:rsidRPr="00EC419C" w:rsidRDefault="00230609" w:rsidP="00230609">
      <w:pPr>
        <w:pStyle w:val="EndNoteBibliography"/>
        <w:spacing w:after="0"/>
        <w:ind w:left="720" w:hanging="720"/>
      </w:pPr>
      <w:r w:rsidRPr="00EC419C">
        <w:t xml:space="preserve">Piao, S., Tan, J., Chen, A., Fu, Y. H., Ciais, P., Liu, Q., Janssens, I. A., Vicca, S., Zeng, Z., Jeong, S.-J., Li, Y., Myneni, R. B., Peng, S., Shen, M., &amp; Peñuelas, J. (2015). Leaf onset in the northern hemisphere triggered by daytime temperature. </w:t>
      </w:r>
      <w:r w:rsidRPr="00EC419C">
        <w:rPr>
          <w:i/>
        </w:rPr>
        <w:t>Nature Communications</w:t>
      </w:r>
      <w:r w:rsidRPr="00EC419C">
        <w:t>,</w:t>
      </w:r>
      <w:r w:rsidRPr="00EC419C">
        <w:rPr>
          <w:i/>
        </w:rPr>
        <w:t xml:space="preserve"> 6</w:t>
      </w:r>
      <w:r w:rsidRPr="00EC419C">
        <w:t xml:space="preserve">(1), 6911. </w:t>
      </w:r>
      <w:hyperlink r:id="rId54" w:history="1">
        <w:r w:rsidRPr="00EC419C">
          <w:rPr>
            <w:rStyle w:val="Hyperlink"/>
          </w:rPr>
          <w:t>https://doi.org/10.1038/ncomms7911</w:t>
        </w:r>
      </w:hyperlink>
      <w:r w:rsidRPr="00EC419C">
        <w:t xml:space="preserve"> </w:t>
      </w:r>
    </w:p>
    <w:p w14:paraId="1A3C63B3" w14:textId="77777777" w:rsidR="00230609" w:rsidRPr="00EC419C" w:rsidRDefault="00230609" w:rsidP="00230609">
      <w:pPr>
        <w:pStyle w:val="EndNoteBibliography"/>
        <w:spacing w:after="0"/>
        <w:ind w:left="720" w:hanging="720"/>
      </w:pPr>
      <w:r w:rsidRPr="00EC419C">
        <w:t>Rosenbaum, K. K., Bradley, K. W., &amp; Roberts, C. A. (2011). Influence of increasing common ragweed (</w:t>
      </w:r>
      <w:r w:rsidRPr="00EC419C">
        <w:rPr>
          <w:i/>
        </w:rPr>
        <w:t>Ambrosia artemisiifolia</w:t>
      </w:r>
      <w:r w:rsidRPr="00EC419C">
        <w:t>) or common cocklebur (</w:t>
      </w:r>
      <w:r w:rsidRPr="00EC419C">
        <w:rPr>
          <w:i/>
        </w:rPr>
        <w:t>Xanthium strumarium</w:t>
      </w:r>
      <w:r w:rsidRPr="00EC419C">
        <w:t xml:space="preserve">) densities on forage nutritive value and yield in tall fescue pastures and hay fields. </w:t>
      </w:r>
      <w:r w:rsidRPr="00EC419C">
        <w:rPr>
          <w:i/>
        </w:rPr>
        <w:t>Weed Technology</w:t>
      </w:r>
      <w:r w:rsidRPr="00EC419C">
        <w:t>,</w:t>
      </w:r>
      <w:r w:rsidRPr="00EC419C">
        <w:rPr>
          <w:i/>
        </w:rPr>
        <w:t xml:space="preserve"> 25</w:t>
      </w:r>
      <w:r w:rsidRPr="00EC419C">
        <w:t xml:space="preserve">(2), 222-229. </w:t>
      </w:r>
      <w:hyperlink r:id="rId55" w:history="1">
        <w:r w:rsidRPr="00EC419C">
          <w:rPr>
            <w:rStyle w:val="Hyperlink"/>
          </w:rPr>
          <w:t>https://doi.org/10.1614/WT-D-10-00114.1</w:t>
        </w:r>
      </w:hyperlink>
      <w:r w:rsidRPr="00EC419C">
        <w:t xml:space="preserve"> </w:t>
      </w:r>
    </w:p>
    <w:p w14:paraId="19C97F3B" w14:textId="77777777" w:rsidR="00230609" w:rsidRPr="00EC419C" w:rsidRDefault="00230609" w:rsidP="00230609">
      <w:pPr>
        <w:pStyle w:val="EndNoteBibliography"/>
        <w:spacing w:after="0"/>
        <w:ind w:left="720" w:hanging="720"/>
      </w:pPr>
      <w:r w:rsidRPr="00EC419C">
        <w:t xml:space="preserve">Rotz, C. A., Skinner, R. H., Stoner, A. M., &amp; Hayhoe, K. (2016). Evaluating greenhouse gas mitigation and climate change adaptation in dairy production using farm simulation. </w:t>
      </w:r>
      <w:r w:rsidRPr="00EC419C">
        <w:rPr>
          <w:i/>
        </w:rPr>
        <w:t>Transactions of the American Society of Agricultural and Biological Engineers</w:t>
      </w:r>
      <w:r w:rsidRPr="00EC419C">
        <w:t>,</w:t>
      </w:r>
      <w:r w:rsidRPr="00EC419C">
        <w:rPr>
          <w:i/>
        </w:rPr>
        <w:t xml:space="preserve"> 59</w:t>
      </w:r>
      <w:r w:rsidRPr="00EC419C">
        <w:t xml:space="preserve">(6), 1771-1781. </w:t>
      </w:r>
      <w:hyperlink r:id="rId56" w:history="1">
        <w:r w:rsidRPr="00EC419C">
          <w:rPr>
            <w:rStyle w:val="Hyperlink"/>
          </w:rPr>
          <w:t>https://doi.org/10.13031/trans.59.11594</w:t>
        </w:r>
      </w:hyperlink>
      <w:r w:rsidRPr="00EC419C">
        <w:t xml:space="preserve"> </w:t>
      </w:r>
    </w:p>
    <w:p w14:paraId="6222AC8F" w14:textId="77777777" w:rsidR="00230609" w:rsidRPr="00EC419C" w:rsidRDefault="00230609" w:rsidP="00230609">
      <w:pPr>
        <w:pStyle w:val="EndNoteBibliography"/>
        <w:spacing w:after="0"/>
        <w:ind w:left="720" w:hanging="720"/>
      </w:pPr>
      <w:r w:rsidRPr="00EC419C">
        <w:lastRenderedPageBreak/>
        <w:t xml:space="preserve">Seipel, T., Ishaq, S. L., &amp; Menalled, F. D. (2019). Agroecosystem resilience is modified by management system via plant-soil feedbacks. </w:t>
      </w:r>
      <w:r w:rsidRPr="00EC419C">
        <w:rPr>
          <w:i/>
        </w:rPr>
        <w:t>Basic and Applied Ecology</w:t>
      </w:r>
      <w:r w:rsidRPr="00EC419C">
        <w:t>,</w:t>
      </w:r>
      <w:r w:rsidRPr="00EC419C">
        <w:rPr>
          <w:i/>
        </w:rPr>
        <w:t xml:space="preserve"> 39</w:t>
      </w:r>
      <w:r w:rsidRPr="00EC419C">
        <w:t xml:space="preserve">, 1-9. </w:t>
      </w:r>
      <w:hyperlink r:id="rId57" w:history="1">
        <w:r w:rsidRPr="00EC419C">
          <w:rPr>
            <w:rStyle w:val="Hyperlink"/>
          </w:rPr>
          <w:t>https://doi.org/10.1016/j.baae.2019.06.006</w:t>
        </w:r>
      </w:hyperlink>
      <w:r w:rsidRPr="00EC419C">
        <w:t xml:space="preserve"> </w:t>
      </w:r>
    </w:p>
    <w:p w14:paraId="6742D7A4" w14:textId="77777777" w:rsidR="00230609" w:rsidRPr="00EC419C" w:rsidRDefault="00230609" w:rsidP="00230609">
      <w:pPr>
        <w:pStyle w:val="EndNoteBibliography"/>
        <w:spacing w:after="0"/>
        <w:ind w:left="720" w:hanging="720"/>
      </w:pPr>
      <w:r w:rsidRPr="00EC419C">
        <w:t xml:space="preserve">Smith, R. G., Atwood, L. W., Morris, M. B., Mortensen, D. A., &amp; Koide, R. T. (2016). Evidence for indirect effects of pesticide seed treatments on weed seed banks in maize and soybean. </w:t>
      </w:r>
      <w:r w:rsidRPr="00EC419C">
        <w:rPr>
          <w:i/>
        </w:rPr>
        <w:t>Agriculture, Ecosystems &amp; Environment</w:t>
      </w:r>
      <w:r w:rsidRPr="00EC419C">
        <w:t>,</w:t>
      </w:r>
      <w:r w:rsidRPr="00EC419C">
        <w:rPr>
          <w:i/>
        </w:rPr>
        <w:t xml:space="preserve"> 216</w:t>
      </w:r>
      <w:r w:rsidRPr="00EC419C">
        <w:t xml:space="preserve">, 269-273. </w:t>
      </w:r>
      <w:hyperlink r:id="rId58" w:history="1">
        <w:r w:rsidRPr="00EC419C">
          <w:rPr>
            <w:rStyle w:val="Hyperlink"/>
          </w:rPr>
          <w:t>https://doi.org/10.1016/j.agee.2015.10.008</w:t>
        </w:r>
      </w:hyperlink>
      <w:r w:rsidRPr="00EC419C">
        <w:t xml:space="preserve"> </w:t>
      </w:r>
    </w:p>
    <w:p w14:paraId="0A57ABC9" w14:textId="77777777" w:rsidR="00230609" w:rsidRPr="00EC419C" w:rsidRDefault="00230609" w:rsidP="00230609">
      <w:pPr>
        <w:pStyle w:val="EndNoteBibliography"/>
        <w:spacing w:after="0"/>
        <w:ind w:left="720" w:hanging="720"/>
      </w:pPr>
      <w:r w:rsidRPr="00EC419C">
        <w:t xml:space="preserve">Smith, R. G., Birthisel, S. K., Bosworth, S. C., Brown, B., Davis, T. M., Gallandt, E. R., Hazelrigg, A., Venturini, E., &amp; Warren, N. D. (2018). Environmental correlates with germinable weed seedbanks on organic farms across northern New England. </w:t>
      </w:r>
      <w:r w:rsidRPr="00EC419C">
        <w:rPr>
          <w:i/>
        </w:rPr>
        <w:t>Weed Science</w:t>
      </w:r>
      <w:r w:rsidRPr="00EC419C">
        <w:t>,</w:t>
      </w:r>
      <w:r w:rsidRPr="00EC419C">
        <w:rPr>
          <w:i/>
        </w:rPr>
        <w:t xml:space="preserve"> 66</w:t>
      </w:r>
      <w:r w:rsidRPr="00EC419C">
        <w:t xml:space="preserve">(1), 78-93. </w:t>
      </w:r>
      <w:hyperlink r:id="rId59" w:history="1">
        <w:r w:rsidRPr="00EC419C">
          <w:rPr>
            <w:rStyle w:val="Hyperlink"/>
          </w:rPr>
          <w:t>https://doi.org/10.1017/wsc.2017.40</w:t>
        </w:r>
      </w:hyperlink>
      <w:r w:rsidRPr="00EC419C">
        <w:t xml:space="preserve"> </w:t>
      </w:r>
    </w:p>
    <w:p w14:paraId="60660580" w14:textId="77777777" w:rsidR="00230609" w:rsidRPr="00EC419C" w:rsidRDefault="00230609" w:rsidP="00230609">
      <w:pPr>
        <w:pStyle w:val="EndNoteBibliography"/>
        <w:spacing w:after="0"/>
        <w:ind w:left="720" w:hanging="720"/>
      </w:pPr>
      <w:r w:rsidRPr="00EC419C">
        <w:t xml:space="preserve">USGCRP. (2017). </w:t>
      </w:r>
      <w:r w:rsidRPr="00EC419C">
        <w:rPr>
          <w:i/>
        </w:rPr>
        <w:t>Climate Science Special Report: Fourth National Climate Assessment</w:t>
      </w:r>
      <w:r w:rsidRPr="00EC419C">
        <w:t xml:space="preserve"> (D. J. Wuebbles, D. W. Fahey, K. A. Hibbard, D. J. Dokken, B. C. Stewart, &amp; T. K. Maycock, Eds.). U.S. Global Change Research Program. </w:t>
      </w:r>
      <w:hyperlink r:id="rId60" w:history="1">
        <w:r w:rsidRPr="00EC419C">
          <w:rPr>
            <w:rStyle w:val="Hyperlink"/>
          </w:rPr>
          <w:t>https://doi.org/10.7930/J0J964J6</w:t>
        </w:r>
      </w:hyperlink>
      <w:r w:rsidRPr="00EC419C">
        <w:t xml:space="preserve">. </w:t>
      </w:r>
    </w:p>
    <w:p w14:paraId="44EDE447" w14:textId="77777777" w:rsidR="00230609" w:rsidRPr="00EC419C" w:rsidRDefault="00230609" w:rsidP="00230609">
      <w:pPr>
        <w:pStyle w:val="EndNoteBibliography"/>
        <w:spacing w:after="0"/>
        <w:ind w:left="720" w:hanging="720"/>
      </w:pPr>
      <w:r w:rsidRPr="00EC419C">
        <w:t xml:space="preserve">VanGessel, M. J., Zhang, Z., Ilvento, T. W., Scott, B., &amp; Johnson, Q. R. (2015). </w:t>
      </w:r>
      <w:r w:rsidRPr="00EC419C">
        <w:rPr>
          <w:i/>
        </w:rPr>
        <w:t>Winter annual weed communities as a result of fall or spring weed control.</w:t>
      </w:r>
      <w:r w:rsidRPr="00EC419C">
        <w:t xml:space="preserve"> Abstracts Annual Meeting of the Weed Science Society of America, Lexington, KY. </w:t>
      </w:r>
      <w:hyperlink r:id="rId61" w:history="1">
        <w:r w:rsidRPr="00EC419C">
          <w:rPr>
            <w:rStyle w:val="Hyperlink"/>
          </w:rPr>
          <w:t>http://wssaabstracts.com/public/30/proceedings.html</w:t>
        </w:r>
      </w:hyperlink>
    </w:p>
    <w:p w14:paraId="755B5D65" w14:textId="77777777" w:rsidR="00230609" w:rsidRPr="00EC419C" w:rsidRDefault="00230609" w:rsidP="00230609">
      <w:pPr>
        <w:pStyle w:val="EndNoteBibliography"/>
        <w:spacing w:after="0"/>
        <w:ind w:left="720" w:hanging="720"/>
      </w:pPr>
      <w:r w:rsidRPr="00EC419C">
        <w:t xml:space="preserve">Walck, J. L., Hidayati, S. N., Dixon, K. W., Thompson, K. E. N., &amp; Poschlod, P. (2011). Climate change and plant regeneration from seed. </w:t>
      </w:r>
      <w:r w:rsidRPr="00EC419C">
        <w:rPr>
          <w:i/>
        </w:rPr>
        <w:t>Global Change Biology</w:t>
      </w:r>
      <w:r w:rsidRPr="00EC419C">
        <w:t>,</w:t>
      </w:r>
      <w:r w:rsidRPr="00EC419C">
        <w:rPr>
          <w:i/>
        </w:rPr>
        <w:t xml:space="preserve"> 17</w:t>
      </w:r>
      <w:r w:rsidRPr="00EC419C">
        <w:t xml:space="preserve">(6), 2145-2161. </w:t>
      </w:r>
      <w:hyperlink r:id="rId62" w:history="1">
        <w:r w:rsidRPr="00EC419C">
          <w:rPr>
            <w:rStyle w:val="Hyperlink"/>
          </w:rPr>
          <w:t>https://doi.org/10.1111/j.1365-2486.2010.02368.x</w:t>
        </w:r>
      </w:hyperlink>
      <w:r w:rsidRPr="00EC419C">
        <w:t xml:space="preserve"> </w:t>
      </w:r>
    </w:p>
    <w:p w14:paraId="4D1AD138" w14:textId="77777777" w:rsidR="00230609" w:rsidRPr="00EC419C" w:rsidRDefault="00230609" w:rsidP="00230609">
      <w:pPr>
        <w:pStyle w:val="EndNoteBibliography"/>
        <w:spacing w:after="0"/>
        <w:ind w:left="720" w:hanging="720"/>
      </w:pPr>
      <w:r w:rsidRPr="00EC419C">
        <w:t xml:space="preserve">Weibull, W. (1951). A statistical distribution function of wide applicability. </w:t>
      </w:r>
      <w:r w:rsidRPr="00EC419C">
        <w:rPr>
          <w:i/>
        </w:rPr>
        <w:t>Journal of Applied Mechanics</w:t>
      </w:r>
      <w:r w:rsidRPr="00EC419C">
        <w:t>,</w:t>
      </w:r>
      <w:r w:rsidRPr="00EC419C">
        <w:rPr>
          <w:i/>
        </w:rPr>
        <w:t xml:space="preserve"> 18</w:t>
      </w:r>
      <w:r w:rsidRPr="00EC419C">
        <w:t xml:space="preserve">(3), 293-297. </w:t>
      </w:r>
      <w:hyperlink r:id="rId63" w:history="1">
        <w:r w:rsidRPr="00EC419C">
          <w:rPr>
            <w:rStyle w:val="Hyperlink"/>
          </w:rPr>
          <w:t>https://doi.org/10.1115/1.4010337</w:t>
        </w:r>
      </w:hyperlink>
      <w:r w:rsidRPr="00EC419C">
        <w:t xml:space="preserve"> </w:t>
      </w:r>
    </w:p>
    <w:p w14:paraId="18D92FFB" w14:textId="77777777" w:rsidR="00230609" w:rsidRPr="00EC419C" w:rsidRDefault="00230609" w:rsidP="00230609">
      <w:pPr>
        <w:pStyle w:val="EndNoteBibliography"/>
        <w:spacing w:after="0"/>
        <w:ind w:left="720" w:hanging="720"/>
      </w:pPr>
      <w:r w:rsidRPr="00EC419C">
        <w:t xml:space="preserve">Werle, R., Bernards, M. L., Arkebauer, T. J., &amp; Lindquist, J. L. (2014). Environmental triggers of winter annual weed emergence in the midwestern United States. </w:t>
      </w:r>
      <w:r w:rsidRPr="00EC419C">
        <w:rPr>
          <w:i/>
        </w:rPr>
        <w:t>Weed Science</w:t>
      </w:r>
      <w:r w:rsidRPr="00EC419C">
        <w:t>,</w:t>
      </w:r>
      <w:r w:rsidRPr="00EC419C">
        <w:rPr>
          <w:i/>
        </w:rPr>
        <w:t xml:space="preserve"> 62</w:t>
      </w:r>
      <w:r w:rsidRPr="00EC419C">
        <w:t xml:space="preserve">(1), 83-96. </w:t>
      </w:r>
      <w:hyperlink r:id="rId64" w:history="1">
        <w:r w:rsidRPr="00EC419C">
          <w:rPr>
            <w:rStyle w:val="Hyperlink"/>
          </w:rPr>
          <w:t>https://doi.org/10.1614/WS-D-13-00091.1</w:t>
        </w:r>
      </w:hyperlink>
      <w:r w:rsidRPr="00EC419C">
        <w:t xml:space="preserve"> </w:t>
      </w:r>
    </w:p>
    <w:p w14:paraId="5F127378" w14:textId="77777777" w:rsidR="00230609" w:rsidRPr="00EC419C" w:rsidRDefault="00230609" w:rsidP="00230609">
      <w:pPr>
        <w:pStyle w:val="EndNoteBibliography"/>
        <w:spacing w:after="0"/>
        <w:ind w:left="720" w:hanging="720"/>
      </w:pPr>
      <w:r w:rsidRPr="00EC419C">
        <w:t xml:space="preserve">Werle, R., Sandell, L. D., Buhler, D. D., Hartzler, R. G., &amp; Lindquist, J. L. (2014). Predicting emergence of 23 summer annual weed species. </w:t>
      </w:r>
      <w:r w:rsidRPr="00EC419C">
        <w:rPr>
          <w:i/>
        </w:rPr>
        <w:t>Weed Science</w:t>
      </w:r>
      <w:r w:rsidRPr="00EC419C">
        <w:t>,</w:t>
      </w:r>
      <w:r w:rsidRPr="00EC419C">
        <w:rPr>
          <w:i/>
        </w:rPr>
        <w:t xml:space="preserve"> 62</w:t>
      </w:r>
      <w:r w:rsidRPr="00EC419C">
        <w:t xml:space="preserve">(2), 267-279. </w:t>
      </w:r>
      <w:hyperlink r:id="rId65" w:history="1">
        <w:r w:rsidRPr="00EC419C">
          <w:rPr>
            <w:rStyle w:val="Hyperlink"/>
          </w:rPr>
          <w:t>https://doi.org/10.1614/WS-D-13-00116.1</w:t>
        </w:r>
      </w:hyperlink>
      <w:r w:rsidRPr="00EC419C">
        <w:t xml:space="preserve"> </w:t>
      </w:r>
    </w:p>
    <w:p w14:paraId="61E4A0C7" w14:textId="77777777" w:rsidR="00230609" w:rsidRPr="00EC419C" w:rsidRDefault="00230609" w:rsidP="00230609">
      <w:pPr>
        <w:pStyle w:val="EndNoteBibliography"/>
        <w:ind w:left="720" w:hanging="720"/>
      </w:pPr>
      <w:r w:rsidRPr="00EC419C">
        <w:t>Wu, C., &amp; Owen, M. D. K. (2014). When is the best time to emerge: Reproductive phenology and success of natural common waterhemp (</w:t>
      </w:r>
      <w:r w:rsidRPr="00EC419C">
        <w:rPr>
          <w:i/>
        </w:rPr>
        <w:t>Amaranthus rudis</w:t>
      </w:r>
      <w:r w:rsidRPr="00EC419C">
        <w:t xml:space="preserve">) cohorts in the midwest United States? </w:t>
      </w:r>
      <w:r w:rsidRPr="00EC419C">
        <w:rPr>
          <w:i/>
        </w:rPr>
        <w:t>Weed Science</w:t>
      </w:r>
      <w:r w:rsidRPr="00EC419C">
        <w:t>,</w:t>
      </w:r>
      <w:r w:rsidRPr="00EC419C">
        <w:rPr>
          <w:i/>
        </w:rPr>
        <w:t xml:space="preserve"> 62</w:t>
      </w:r>
      <w:r w:rsidRPr="00EC419C">
        <w:t xml:space="preserve">(1), 107-117. </w:t>
      </w:r>
      <w:hyperlink r:id="rId66" w:history="1">
        <w:r w:rsidRPr="00EC419C">
          <w:rPr>
            <w:rStyle w:val="Hyperlink"/>
          </w:rPr>
          <w:t>https://doi.org/10.1614/WS-D-13-00079.1</w:t>
        </w:r>
      </w:hyperlink>
      <w:r w:rsidRPr="00EC419C">
        <w:t xml:space="preserve"> </w:t>
      </w:r>
    </w:p>
    <w:p w14:paraId="7E6C2F25" w14:textId="1D99CD3C" w:rsidR="00BD65B7" w:rsidRDefault="00230609" w:rsidP="001A0CCE">
      <w:r w:rsidRPr="00EC419C">
        <w:fldChar w:fldCharType="end"/>
      </w:r>
    </w:p>
    <w:sectPr w:rsidR="00BD65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Times">
    <w:panose1 w:val="020206030504050203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90A66"/>
    <w:multiLevelType w:val="hybridMultilevel"/>
    <w:tmpl w:val="287CA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502FF1"/>
    <w:multiLevelType w:val="hybridMultilevel"/>
    <w:tmpl w:val="A3521F24"/>
    <w:lvl w:ilvl="0" w:tplc="042A046A">
      <w:start w:val="10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321CFA"/>
    <w:multiLevelType w:val="hybridMultilevel"/>
    <w:tmpl w:val="D224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1001EB"/>
    <w:multiLevelType w:val="multilevel"/>
    <w:tmpl w:val="6034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8075354">
    <w:abstractNumId w:val="2"/>
  </w:num>
  <w:num w:numId="2" w16cid:durableId="1738093597">
    <w:abstractNumId w:val="1"/>
  </w:num>
  <w:num w:numId="3" w16cid:durableId="1743409914">
    <w:abstractNumId w:val="3"/>
  </w:num>
  <w:num w:numId="4" w16cid:durableId="1980185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CCE"/>
    <w:rsid w:val="000207DE"/>
    <w:rsid w:val="00020E42"/>
    <w:rsid w:val="00061DBD"/>
    <w:rsid w:val="00062142"/>
    <w:rsid w:val="00067C90"/>
    <w:rsid w:val="00097ABA"/>
    <w:rsid w:val="000A2562"/>
    <w:rsid w:val="000B4E55"/>
    <w:rsid w:val="000C1A55"/>
    <w:rsid w:val="000C2559"/>
    <w:rsid w:val="000C6064"/>
    <w:rsid w:val="000C6245"/>
    <w:rsid w:val="000D0AD0"/>
    <w:rsid w:val="000F4860"/>
    <w:rsid w:val="0011478C"/>
    <w:rsid w:val="001316D7"/>
    <w:rsid w:val="00162FAB"/>
    <w:rsid w:val="001A0CCE"/>
    <w:rsid w:val="00202EF5"/>
    <w:rsid w:val="00223800"/>
    <w:rsid w:val="00223CF2"/>
    <w:rsid w:val="0023009E"/>
    <w:rsid w:val="00230609"/>
    <w:rsid w:val="002306C1"/>
    <w:rsid w:val="00272DB4"/>
    <w:rsid w:val="002A3936"/>
    <w:rsid w:val="002D0C7B"/>
    <w:rsid w:val="002E22AF"/>
    <w:rsid w:val="00304FEC"/>
    <w:rsid w:val="00311FAA"/>
    <w:rsid w:val="00317F19"/>
    <w:rsid w:val="00356B67"/>
    <w:rsid w:val="003903B5"/>
    <w:rsid w:val="003B7E4A"/>
    <w:rsid w:val="003C3D27"/>
    <w:rsid w:val="003E58D1"/>
    <w:rsid w:val="00406228"/>
    <w:rsid w:val="00413442"/>
    <w:rsid w:val="00416198"/>
    <w:rsid w:val="00416AB2"/>
    <w:rsid w:val="004259D4"/>
    <w:rsid w:val="00427C6D"/>
    <w:rsid w:val="00456F4A"/>
    <w:rsid w:val="00471CC6"/>
    <w:rsid w:val="00473818"/>
    <w:rsid w:val="00473B01"/>
    <w:rsid w:val="004B13A0"/>
    <w:rsid w:val="004B3523"/>
    <w:rsid w:val="004E1E62"/>
    <w:rsid w:val="004E40BC"/>
    <w:rsid w:val="004E6044"/>
    <w:rsid w:val="00507495"/>
    <w:rsid w:val="005207A5"/>
    <w:rsid w:val="00533BDB"/>
    <w:rsid w:val="00556AD4"/>
    <w:rsid w:val="00563766"/>
    <w:rsid w:val="00590B2C"/>
    <w:rsid w:val="00595FCE"/>
    <w:rsid w:val="00621EFF"/>
    <w:rsid w:val="0062420F"/>
    <w:rsid w:val="00636ABE"/>
    <w:rsid w:val="0064392D"/>
    <w:rsid w:val="0064743B"/>
    <w:rsid w:val="00655216"/>
    <w:rsid w:val="0065626C"/>
    <w:rsid w:val="006701DE"/>
    <w:rsid w:val="006917B1"/>
    <w:rsid w:val="00695403"/>
    <w:rsid w:val="006B2556"/>
    <w:rsid w:val="006D55F1"/>
    <w:rsid w:val="006D7340"/>
    <w:rsid w:val="006E2693"/>
    <w:rsid w:val="006F44CF"/>
    <w:rsid w:val="00701338"/>
    <w:rsid w:val="0070203A"/>
    <w:rsid w:val="007340D3"/>
    <w:rsid w:val="007B6EED"/>
    <w:rsid w:val="007C3A65"/>
    <w:rsid w:val="007E001D"/>
    <w:rsid w:val="008040CC"/>
    <w:rsid w:val="00852848"/>
    <w:rsid w:val="008528CD"/>
    <w:rsid w:val="00863FC1"/>
    <w:rsid w:val="00885F24"/>
    <w:rsid w:val="008A2917"/>
    <w:rsid w:val="008A73F2"/>
    <w:rsid w:val="008B46F5"/>
    <w:rsid w:val="008C45A8"/>
    <w:rsid w:val="008D72A5"/>
    <w:rsid w:val="008F5C54"/>
    <w:rsid w:val="009659EB"/>
    <w:rsid w:val="009900D0"/>
    <w:rsid w:val="009A2ADB"/>
    <w:rsid w:val="009C1DE8"/>
    <w:rsid w:val="009C2C5E"/>
    <w:rsid w:val="009F026C"/>
    <w:rsid w:val="009F354C"/>
    <w:rsid w:val="00A13D28"/>
    <w:rsid w:val="00A170CD"/>
    <w:rsid w:val="00A27E69"/>
    <w:rsid w:val="00A42174"/>
    <w:rsid w:val="00A449D4"/>
    <w:rsid w:val="00A5062B"/>
    <w:rsid w:val="00A54E5F"/>
    <w:rsid w:val="00A65D04"/>
    <w:rsid w:val="00A81CC1"/>
    <w:rsid w:val="00A8323E"/>
    <w:rsid w:val="00A90C38"/>
    <w:rsid w:val="00A91D7A"/>
    <w:rsid w:val="00A942F1"/>
    <w:rsid w:val="00AB0956"/>
    <w:rsid w:val="00AD24D9"/>
    <w:rsid w:val="00B07495"/>
    <w:rsid w:val="00B42DEF"/>
    <w:rsid w:val="00B45E72"/>
    <w:rsid w:val="00B5788B"/>
    <w:rsid w:val="00B75B4A"/>
    <w:rsid w:val="00BA4922"/>
    <w:rsid w:val="00BC6FDC"/>
    <w:rsid w:val="00BD65B7"/>
    <w:rsid w:val="00C36834"/>
    <w:rsid w:val="00C4292B"/>
    <w:rsid w:val="00C91993"/>
    <w:rsid w:val="00C96504"/>
    <w:rsid w:val="00CC442E"/>
    <w:rsid w:val="00CC7679"/>
    <w:rsid w:val="00CE2C84"/>
    <w:rsid w:val="00D05E05"/>
    <w:rsid w:val="00D11832"/>
    <w:rsid w:val="00D164A0"/>
    <w:rsid w:val="00D33009"/>
    <w:rsid w:val="00D44DD2"/>
    <w:rsid w:val="00D64199"/>
    <w:rsid w:val="00D77140"/>
    <w:rsid w:val="00D816AB"/>
    <w:rsid w:val="00D97BFF"/>
    <w:rsid w:val="00DC0FCA"/>
    <w:rsid w:val="00DC1CBD"/>
    <w:rsid w:val="00E0389C"/>
    <w:rsid w:val="00E04A01"/>
    <w:rsid w:val="00E2500D"/>
    <w:rsid w:val="00E31F16"/>
    <w:rsid w:val="00E3582B"/>
    <w:rsid w:val="00E3701C"/>
    <w:rsid w:val="00E464FF"/>
    <w:rsid w:val="00E575AF"/>
    <w:rsid w:val="00E67C97"/>
    <w:rsid w:val="00EC33F4"/>
    <w:rsid w:val="00EC419C"/>
    <w:rsid w:val="00EC5BBF"/>
    <w:rsid w:val="00EC75C1"/>
    <w:rsid w:val="00ED5465"/>
    <w:rsid w:val="00EE4EFA"/>
    <w:rsid w:val="00EF0FC9"/>
    <w:rsid w:val="00EF4F6B"/>
    <w:rsid w:val="00EF5C8F"/>
    <w:rsid w:val="00F47349"/>
    <w:rsid w:val="00F526F2"/>
    <w:rsid w:val="00F85C78"/>
    <w:rsid w:val="00F95B5C"/>
    <w:rsid w:val="00FA1390"/>
    <w:rsid w:val="00FB3CF6"/>
    <w:rsid w:val="00FE76DB"/>
    <w:rsid w:val="00FF5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4069D"/>
  <w15:chartTrackingRefBased/>
  <w15:docId w15:val="{A6035631-6122-458B-9F2C-9372070A6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B3CF6"/>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E00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D65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0CC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FB3CF6"/>
    <w:rPr>
      <w:rFonts w:ascii="Times New Roman" w:hAnsi="Times New Roman" w:cs="Times New Roman"/>
      <w:b/>
      <w:bCs/>
      <w:kern w:val="36"/>
      <w:sz w:val="48"/>
      <w:szCs w:val="48"/>
    </w:rPr>
  </w:style>
  <w:style w:type="paragraph" w:styleId="Caption">
    <w:name w:val="caption"/>
    <w:basedOn w:val="Normal"/>
    <w:next w:val="Normal"/>
    <w:uiPriority w:val="35"/>
    <w:unhideWhenUsed/>
    <w:qFormat/>
    <w:rsid w:val="007B6EE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B6EED"/>
    <w:rPr>
      <w:sz w:val="16"/>
      <w:szCs w:val="16"/>
    </w:rPr>
  </w:style>
  <w:style w:type="character" w:styleId="Hyperlink">
    <w:name w:val="Hyperlink"/>
    <w:basedOn w:val="DefaultParagraphFont"/>
    <w:uiPriority w:val="99"/>
    <w:unhideWhenUsed/>
    <w:rsid w:val="003B7E4A"/>
    <w:rPr>
      <w:color w:val="0000FF"/>
      <w:u w:val="single"/>
    </w:rPr>
  </w:style>
  <w:style w:type="paragraph" w:styleId="ListParagraph">
    <w:name w:val="List Paragraph"/>
    <w:basedOn w:val="Normal"/>
    <w:uiPriority w:val="34"/>
    <w:qFormat/>
    <w:rsid w:val="00BD65B7"/>
    <w:pPr>
      <w:ind w:left="720"/>
      <w:contextualSpacing/>
    </w:pPr>
  </w:style>
  <w:style w:type="character" w:customStyle="1" w:styleId="Heading4Char">
    <w:name w:val="Heading 4 Char"/>
    <w:basedOn w:val="DefaultParagraphFont"/>
    <w:link w:val="Heading4"/>
    <w:uiPriority w:val="9"/>
    <w:semiHidden/>
    <w:rsid w:val="00BD65B7"/>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9900D0"/>
    <w:pPr>
      <w:spacing w:after="0" w:line="240" w:lineRule="auto"/>
    </w:pPr>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6701D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701DE"/>
    <w:rPr>
      <w:rFonts w:ascii="Arial" w:eastAsia="Times New Roman" w:hAnsi="Arial" w:cs="Arial"/>
      <w:vanish/>
      <w:sz w:val="16"/>
      <w:szCs w:val="16"/>
    </w:rPr>
  </w:style>
  <w:style w:type="character" w:customStyle="1" w:styleId="Heading3Char">
    <w:name w:val="Heading 3 Char"/>
    <w:basedOn w:val="DefaultParagraphFont"/>
    <w:link w:val="Heading3"/>
    <w:uiPriority w:val="9"/>
    <w:semiHidden/>
    <w:rsid w:val="007E001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304FEC"/>
    <w:pPr>
      <w:spacing w:after="0" w:line="240" w:lineRule="auto"/>
    </w:pPr>
  </w:style>
  <w:style w:type="paragraph" w:styleId="CommentText">
    <w:name w:val="annotation text"/>
    <w:basedOn w:val="Normal"/>
    <w:link w:val="CommentTextChar"/>
    <w:uiPriority w:val="99"/>
    <w:unhideWhenUsed/>
    <w:rsid w:val="008F5C54"/>
    <w:pPr>
      <w:spacing w:line="240" w:lineRule="auto"/>
    </w:pPr>
    <w:rPr>
      <w:sz w:val="20"/>
      <w:szCs w:val="20"/>
    </w:rPr>
  </w:style>
  <w:style w:type="character" w:customStyle="1" w:styleId="CommentTextChar">
    <w:name w:val="Comment Text Char"/>
    <w:basedOn w:val="DefaultParagraphFont"/>
    <w:link w:val="CommentText"/>
    <w:uiPriority w:val="99"/>
    <w:rsid w:val="008F5C54"/>
    <w:rPr>
      <w:sz w:val="20"/>
      <w:szCs w:val="20"/>
    </w:rPr>
  </w:style>
  <w:style w:type="paragraph" w:styleId="CommentSubject">
    <w:name w:val="annotation subject"/>
    <w:basedOn w:val="CommentText"/>
    <w:next w:val="CommentText"/>
    <w:link w:val="CommentSubjectChar"/>
    <w:uiPriority w:val="99"/>
    <w:semiHidden/>
    <w:unhideWhenUsed/>
    <w:rsid w:val="008F5C54"/>
    <w:rPr>
      <w:b/>
      <w:bCs/>
    </w:rPr>
  </w:style>
  <w:style w:type="character" w:customStyle="1" w:styleId="CommentSubjectChar">
    <w:name w:val="Comment Subject Char"/>
    <w:basedOn w:val="CommentTextChar"/>
    <w:link w:val="CommentSubject"/>
    <w:uiPriority w:val="99"/>
    <w:semiHidden/>
    <w:rsid w:val="008F5C54"/>
    <w:rPr>
      <w:b/>
      <w:bCs/>
      <w:sz w:val="20"/>
      <w:szCs w:val="20"/>
    </w:rPr>
  </w:style>
  <w:style w:type="character" w:customStyle="1" w:styleId="cf11">
    <w:name w:val="cf11"/>
    <w:basedOn w:val="DefaultParagraphFont"/>
    <w:rsid w:val="00A65D04"/>
    <w:rPr>
      <w:rFonts w:ascii="Segoe UI" w:hAnsi="Segoe UI" w:cs="Segoe UI" w:hint="default"/>
      <w:sz w:val="18"/>
      <w:szCs w:val="18"/>
    </w:rPr>
  </w:style>
  <w:style w:type="character" w:customStyle="1" w:styleId="contentpasted0">
    <w:name w:val="contentpasted0"/>
    <w:basedOn w:val="DefaultParagraphFont"/>
    <w:rsid w:val="008A2917"/>
  </w:style>
  <w:style w:type="paragraph" w:customStyle="1" w:styleId="EndNoteBibliography">
    <w:name w:val="EndNote Bibliography"/>
    <w:basedOn w:val="Normal"/>
    <w:link w:val="EndNoteBibliographyChar"/>
    <w:rsid w:val="0023060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30609"/>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1426">
      <w:bodyDiv w:val="1"/>
      <w:marLeft w:val="0"/>
      <w:marRight w:val="0"/>
      <w:marTop w:val="0"/>
      <w:marBottom w:val="0"/>
      <w:divBdr>
        <w:top w:val="none" w:sz="0" w:space="0" w:color="auto"/>
        <w:left w:val="none" w:sz="0" w:space="0" w:color="auto"/>
        <w:bottom w:val="none" w:sz="0" w:space="0" w:color="auto"/>
        <w:right w:val="none" w:sz="0" w:space="0" w:color="auto"/>
      </w:divBdr>
    </w:div>
    <w:div w:id="118685991">
      <w:bodyDiv w:val="1"/>
      <w:marLeft w:val="0"/>
      <w:marRight w:val="0"/>
      <w:marTop w:val="0"/>
      <w:marBottom w:val="0"/>
      <w:divBdr>
        <w:top w:val="none" w:sz="0" w:space="0" w:color="auto"/>
        <w:left w:val="none" w:sz="0" w:space="0" w:color="auto"/>
        <w:bottom w:val="none" w:sz="0" w:space="0" w:color="auto"/>
        <w:right w:val="none" w:sz="0" w:space="0" w:color="auto"/>
      </w:divBdr>
    </w:div>
    <w:div w:id="158424728">
      <w:bodyDiv w:val="1"/>
      <w:marLeft w:val="0"/>
      <w:marRight w:val="0"/>
      <w:marTop w:val="0"/>
      <w:marBottom w:val="0"/>
      <w:divBdr>
        <w:top w:val="none" w:sz="0" w:space="0" w:color="auto"/>
        <w:left w:val="none" w:sz="0" w:space="0" w:color="auto"/>
        <w:bottom w:val="none" w:sz="0" w:space="0" w:color="auto"/>
        <w:right w:val="none" w:sz="0" w:space="0" w:color="auto"/>
      </w:divBdr>
    </w:div>
    <w:div w:id="171645324">
      <w:bodyDiv w:val="1"/>
      <w:marLeft w:val="0"/>
      <w:marRight w:val="0"/>
      <w:marTop w:val="0"/>
      <w:marBottom w:val="0"/>
      <w:divBdr>
        <w:top w:val="none" w:sz="0" w:space="0" w:color="auto"/>
        <w:left w:val="none" w:sz="0" w:space="0" w:color="auto"/>
        <w:bottom w:val="none" w:sz="0" w:space="0" w:color="auto"/>
        <w:right w:val="none" w:sz="0" w:space="0" w:color="auto"/>
      </w:divBdr>
    </w:div>
    <w:div w:id="346443805">
      <w:bodyDiv w:val="1"/>
      <w:marLeft w:val="0"/>
      <w:marRight w:val="0"/>
      <w:marTop w:val="0"/>
      <w:marBottom w:val="0"/>
      <w:divBdr>
        <w:top w:val="none" w:sz="0" w:space="0" w:color="auto"/>
        <w:left w:val="none" w:sz="0" w:space="0" w:color="auto"/>
        <w:bottom w:val="none" w:sz="0" w:space="0" w:color="auto"/>
        <w:right w:val="none" w:sz="0" w:space="0" w:color="auto"/>
      </w:divBdr>
    </w:div>
    <w:div w:id="483283441">
      <w:bodyDiv w:val="1"/>
      <w:marLeft w:val="0"/>
      <w:marRight w:val="0"/>
      <w:marTop w:val="0"/>
      <w:marBottom w:val="0"/>
      <w:divBdr>
        <w:top w:val="none" w:sz="0" w:space="0" w:color="auto"/>
        <w:left w:val="none" w:sz="0" w:space="0" w:color="auto"/>
        <w:bottom w:val="none" w:sz="0" w:space="0" w:color="auto"/>
        <w:right w:val="none" w:sz="0" w:space="0" w:color="auto"/>
      </w:divBdr>
    </w:div>
    <w:div w:id="615988045">
      <w:bodyDiv w:val="1"/>
      <w:marLeft w:val="0"/>
      <w:marRight w:val="0"/>
      <w:marTop w:val="0"/>
      <w:marBottom w:val="0"/>
      <w:divBdr>
        <w:top w:val="none" w:sz="0" w:space="0" w:color="auto"/>
        <w:left w:val="none" w:sz="0" w:space="0" w:color="auto"/>
        <w:bottom w:val="none" w:sz="0" w:space="0" w:color="auto"/>
        <w:right w:val="none" w:sz="0" w:space="0" w:color="auto"/>
      </w:divBdr>
    </w:div>
    <w:div w:id="898635663">
      <w:bodyDiv w:val="1"/>
      <w:marLeft w:val="0"/>
      <w:marRight w:val="0"/>
      <w:marTop w:val="0"/>
      <w:marBottom w:val="0"/>
      <w:divBdr>
        <w:top w:val="none" w:sz="0" w:space="0" w:color="auto"/>
        <w:left w:val="none" w:sz="0" w:space="0" w:color="auto"/>
        <w:bottom w:val="none" w:sz="0" w:space="0" w:color="auto"/>
        <w:right w:val="none" w:sz="0" w:space="0" w:color="auto"/>
      </w:divBdr>
    </w:div>
    <w:div w:id="1097167561">
      <w:bodyDiv w:val="1"/>
      <w:marLeft w:val="0"/>
      <w:marRight w:val="0"/>
      <w:marTop w:val="0"/>
      <w:marBottom w:val="0"/>
      <w:divBdr>
        <w:top w:val="none" w:sz="0" w:space="0" w:color="auto"/>
        <w:left w:val="none" w:sz="0" w:space="0" w:color="auto"/>
        <w:bottom w:val="none" w:sz="0" w:space="0" w:color="auto"/>
        <w:right w:val="none" w:sz="0" w:space="0" w:color="auto"/>
      </w:divBdr>
    </w:div>
    <w:div w:id="1236236966">
      <w:bodyDiv w:val="1"/>
      <w:marLeft w:val="0"/>
      <w:marRight w:val="0"/>
      <w:marTop w:val="0"/>
      <w:marBottom w:val="0"/>
      <w:divBdr>
        <w:top w:val="none" w:sz="0" w:space="0" w:color="auto"/>
        <w:left w:val="none" w:sz="0" w:space="0" w:color="auto"/>
        <w:bottom w:val="none" w:sz="0" w:space="0" w:color="auto"/>
        <w:right w:val="none" w:sz="0" w:space="0" w:color="auto"/>
      </w:divBdr>
    </w:div>
    <w:div w:id="1372537218">
      <w:bodyDiv w:val="1"/>
      <w:marLeft w:val="0"/>
      <w:marRight w:val="0"/>
      <w:marTop w:val="0"/>
      <w:marBottom w:val="0"/>
      <w:divBdr>
        <w:top w:val="none" w:sz="0" w:space="0" w:color="auto"/>
        <w:left w:val="none" w:sz="0" w:space="0" w:color="auto"/>
        <w:bottom w:val="none" w:sz="0" w:space="0" w:color="auto"/>
        <w:right w:val="none" w:sz="0" w:space="0" w:color="auto"/>
      </w:divBdr>
    </w:div>
    <w:div w:id="1790974087">
      <w:bodyDiv w:val="1"/>
      <w:marLeft w:val="0"/>
      <w:marRight w:val="0"/>
      <w:marTop w:val="0"/>
      <w:marBottom w:val="0"/>
      <w:divBdr>
        <w:top w:val="none" w:sz="0" w:space="0" w:color="auto"/>
        <w:left w:val="none" w:sz="0" w:space="0" w:color="auto"/>
        <w:bottom w:val="none" w:sz="0" w:space="0" w:color="auto"/>
        <w:right w:val="none" w:sz="0" w:space="0" w:color="auto"/>
      </w:divBdr>
    </w:div>
    <w:div w:id="197722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614/WS-05-058R.1" TargetMode="External"/><Relationship Id="rId21" Type="http://schemas.openxmlformats.org/officeDocument/2006/relationships/hyperlink" Target="https://doi.org/10.1038/s41467-018-02992-9" TargetMode="External"/><Relationship Id="rId34" Type="http://schemas.openxmlformats.org/officeDocument/2006/relationships/hyperlink" Target="https://doi.org/10.1614/WS-03-004R" TargetMode="External"/><Relationship Id="rId42" Type="http://schemas.openxmlformats.org/officeDocument/2006/relationships/hyperlink" Target="https://doi.org/10.1016/j.baae.2009.07.008" TargetMode="External"/><Relationship Id="rId47" Type="http://schemas.openxmlformats.org/officeDocument/2006/relationships/hyperlink" Target="https://doi.org/10.1002/ecs2.1465" TargetMode="External"/><Relationship Id="rId50" Type="http://schemas.openxmlformats.org/officeDocument/2006/relationships/hyperlink" Target="https://doi.org/10.1614/WS-D-11-00155.1" TargetMode="External"/><Relationship Id="rId55" Type="http://schemas.openxmlformats.org/officeDocument/2006/relationships/hyperlink" Target="https://doi.org/10.1614/WT-D-10-00114.1" TargetMode="External"/><Relationship Id="rId63" Type="http://schemas.openxmlformats.org/officeDocument/2006/relationships/hyperlink" Target="https://doi.org/10.1115/1.4010337" TargetMode="External"/><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doi.org/10.1175/2010JCLI3363.1" TargetMode="External"/><Relationship Id="rId29" Type="http://schemas.openxmlformats.org/officeDocument/2006/relationships/hyperlink" Target="https://doi.org/10.1098/rsta.2014.0170" TargetMode="External"/><Relationship Id="rId11" Type="http://schemas.openxmlformats.org/officeDocument/2006/relationships/hyperlink" Target="https://doi.org/10.1017/S1742170514000192" TargetMode="External"/><Relationship Id="rId24" Type="http://schemas.openxmlformats.org/officeDocument/2006/relationships/hyperlink" Target="https://doi.org/10.1111/aab.12377" TargetMode="External"/><Relationship Id="rId32" Type="http://schemas.openxmlformats.org/officeDocument/2006/relationships/hyperlink" Target="https://doi.org/10.1086/283244" TargetMode="External"/><Relationship Id="rId37" Type="http://schemas.openxmlformats.org/officeDocument/2006/relationships/hyperlink" Target="https://doi.org/10.1007/s00382-006-0187-8" TargetMode="External"/><Relationship Id="rId40" Type="http://schemas.openxmlformats.org/officeDocument/2006/relationships/hyperlink" Target="https://doi.org/10.1371/journal.pone.0168697" TargetMode="External"/><Relationship Id="rId45" Type="http://schemas.openxmlformats.org/officeDocument/2006/relationships/hyperlink" Target="https://doi.org/10.1017/wsc.2018.83" TargetMode="External"/><Relationship Id="rId53" Type="http://schemas.openxmlformats.org/officeDocument/2006/relationships/hyperlink" Target="https://doi.org/10.3402/polar.v30i0.15787" TargetMode="External"/><Relationship Id="rId58" Type="http://schemas.openxmlformats.org/officeDocument/2006/relationships/hyperlink" Target="https://doi.org/10.1016/j.agee.2015.10.008" TargetMode="External"/><Relationship Id="rId66" Type="http://schemas.openxmlformats.org/officeDocument/2006/relationships/hyperlink" Target="https://doi.org/10.1614/WS-D-13-00079.1" TargetMode="External"/><Relationship Id="rId5" Type="http://schemas.openxmlformats.org/officeDocument/2006/relationships/webSettings" Target="webSettings.xml"/><Relationship Id="rId61" Type="http://schemas.openxmlformats.org/officeDocument/2006/relationships/hyperlink" Target="http://wssaabstracts.com/public/30/proceedings.html" TargetMode="External"/><Relationship Id="rId19" Type="http://schemas.openxmlformats.org/officeDocument/2006/relationships/hyperlink" Target="https://doi.org/10.1890/ES15-00217.1" TargetMode="External"/><Relationship Id="rId14" Type="http://schemas.openxmlformats.org/officeDocument/2006/relationships/hyperlink" Target="https://doi.org/10.1016/S0378-4290(00)00087-3" TargetMode="External"/><Relationship Id="rId22" Type="http://schemas.openxmlformats.org/officeDocument/2006/relationships/hyperlink" Target="https://doi.org/10.1007/s00442-015-3369-4" TargetMode="External"/><Relationship Id="rId27" Type="http://schemas.openxmlformats.org/officeDocument/2006/relationships/hyperlink" Target="https://doi.org/10.1002/ece3.2415" TargetMode="External"/><Relationship Id="rId30" Type="http://schemas.openxmlformats.org/officeDocument/2006/relationships/hyperlink" Target="https://doi.org/10.1017/wsc.2017.38" TargetMode="External"/><Relationship Id="rId35" Type="http://schemas.openxmlformats.org/officeDocument/2006/relationships/hyperlink" Target="https://doi.org/10.7930/J02Z13FR" TargetMode="External"/><Relationship Id="rId43" Type="http://schemas.openxmlformats.org/officeDocument/2006/relationships/hyperlink" Target="https://doi.org/10.1038/ngeo2517" TargetMode="External"/><Relationship Id="rId48" Type="http://schemas.openxmlformats.org/officeDocument/2006/relationships/hyperlink" Target="https://doi.org/10.1614/WS-04-025R" TargetMode="External"/><Relationship Id="rId56" Type="http://schemas.openxmlformats.org/officeDocument/2006/relationships/hyperlink" Target="https://doi.org/10.13031/trans.59.11594" TargetMode="External"/><Relationship Id="rId64" Type="http://schemas.openxmlformats.org/officeDocument/2006/relationships/hyperlink" Target="https://doi.org/10.1614/WS-D-13-00091.1" TargetMode="External"/><Relationship Id="rId8" Type="http://schemas.openxmlformats.org/officeDocument/2006/relationships/image" Target="media/image3.emf"/><Relationship Id="rId51" Type="http://schemas.openxmlformats.org/officeDocument/2006/relationships/hyperlink" Target="https://doi.org/10.1046/j.1365-3180.1999.00149.x" TargetMode="External"/><Relationship Id="rId3" Type="http://schemas.openxmlformats.org/officeDocument/2006/relationships/styles" Target="styles.xml"/><Relationship Id="rId12" Type="http://schemas.openxmlformats.org/officeDocument/2006/relationships/hyperlink" Target="https://doi.org/10.1146/annurev.es.05.110174.000245" TargetMode="External"/><Relationship Id="rId17" Type="http://schemas.openxmlformats.org/officeDocument/2006/relationships/hyperlink" Target="https://doi.org/10.1146/annurev.es.25.110194.001403" TargetMode="External"/><Relationship Id="rId25" Type="http://schemas.openxmlformats.org/officeDocument/2006/relationships/hyperlink" Target="https://www.newss.org/proceedings/proceedings_2007.pdf" TargetMode="External"/><Relationship Id="rId33" Type="http://schemas.openxmlformats.org/officeDocument/2006/relationships/hyperlink" Target="https://doi.org/10.1079/9780851994321.0059" TargetMode="External"/><Relationship Id="rId38" Type="http://schemas.openxmlformats.org/officeDocument/2006/relationships/hyperlink" Target="http://weedscience.org" TargetMode="External"/><Relationship Id="rId46" Type="http://schemas.openxmlformats.org/officeDocument/2006/relationships/hyperlink" Target="https://doi.org/10.1111/j.1365-2486.1997.gcb136.x" TargetMode="External"/><Relationship Id="rId59" Type="http://schemas.openxmlformats.org/officeDocument/2006/relationships/hyperlink" Target="https://doi.org/10.1017/wsc.2017.40" TargetMode="External"/><Relationship Id="rId67" Type="http://schemas.openxmlformats.org/officeDocument/2006/relationships/fontTable" Target="fontTable.xml"/><Relationship Id="rId20" Type="http://schemas.openxmlformats.org/officeDocument/2006/relationships/hyperlink" Target="https://doi.org/10.1002/2016GL069102" TargetMode="External"/><Relationship Id="rId41" Type="http://schemas.openxmlformats.org/officeDocument/2006/relationships/hyperlink" Target="https://doi.org/10.1017/wsc.2018.27" TargetMode="External"/><Relationship Id="rId54" Type="http://schemas.openxmlformats.org/officeDocument/2006/relationships/hyperlink" Target="https://doi.org/10.1038/ncomms7911" TargetMode="External"/><Relationship Id="rId62" Type="http://schemas.openxmlformats.org/officeDocument/2006/relationships/hyperlink" Target="https://doi.org/10.1111/j.1365-2486.2010.02368.x"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doi.org/10.1111/gcb.13417" TargetMode="External"/><Relationship Id="rId23" Type="http://schemas.openxmlformats.org/officeDocument/2006/relationships/hyperlink" Target="https://doi.org/10.1088/1748-9326/ab54f3" TargetMode="External"/><Relationship Id="rId28" Type="http://schemas.openxmlformats.org/officeDocument/2006/relationships/hyperlink" Target="https://doi.org/10.1002/ecs2.1497" TargetMode="External"/><Relationship Id="rId36" Type="http://schemas.openxmlformats.org/officeDocument/2006/relationships/hyperlink" Target="https://doi.org/10.2134/agronj2010.0303" TargetMode="External"/><Relationship Id="rId49" Type="http://schemas.openxmlformats.org/officeDocument/2006/relationships/hyperlink" Target="https://doi.org/10.1614/WT-03-242R1" TargetMode="External"/><Relationship Id="rId57" Type="http://schemas.openxmlformats.org/officeDocument/2006/relationships/hyperlink" Target="https://doi.org/10.1016/j.baae.2019.06.006" TargetMode="External"/><Relationship Id="rId10" Type="http://schemas.openxmlformats.org/officeDocument/2006/relationships/image" Target="media/image4.jpeg"/><Relationship Id="rId31" Type="http://schemas.openxmlformats.org/officeDocument/2006/relationships/hyperlink" Target="https://doi.org/10.1614/WT-03-196R" TargetMode="External"/><Relationship Id="rId44" Type="http://schemas.openxmlformats.org/officeDocument/2006/relationships/hyperlink" Target="https://doi.org/10.1111/brv.12095" TargetMode="External"/><Relationship Id="rId52" Type="http://schemas.openxmlformats.org/officeDocument/2006/relationships/hyperlink" Target="https://doi.org/10.1038/nclimate3121" TargetMode="External"/><Relationship Id="rId60" Type="http://schemas.openxmlformats.org/officeDocument/2006/relationships/hyperlink" Target="https://doi.org/10.7930/J0J964J6" TargetMode="External"/><Relationship Id="rId65" Type="http://schemas.openxmlformats.org/officeDocument/2006/relationships/hyperlink" Target="https://doi.org/10.1614/WS-D-13-00116.1" TargetMode="External"/><Relationship Id="rId4" Type="http://schemas.openxmlformats.org/officeDocument/2006/relationships/settings" Target="settings.xml"/><Relationship Id="rId9" Type="http://schemas.openxmlformats.org/officeDocument/2006/relationships/hyperlink" Target="https://www.nimss.org/projects/organization_and_governance_mrp/19060" TargetMode="External"/><Relationship Id="rId13" Type="http://schemas.openxmlformats.org/officeDocument/2006/relationships/hyperlink" Target="https://doi.org/10.2134/agronj2002.1120" TargetMode="External"/><Relationship Id="rId18" Type="http://schemas.openxmlformats.org/officeDocument/2006/relationships/hyperlink" Target="https://doi.org/10.1175/JCLI-D-17-0525.1" TargetMode="External"/><Relationship Id="rId39" Type="http://schemas.openxmlformats.org/officeDocument/2006/relationships/hyperlink" Target="https://doi.org/10.1007/s10584-007-932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E5484-F326-4CF2-BD1C-D92DEC759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18</Pages>
  <Words>6882</Words>
  <Characters>38884</Characters>
  <Application>Microsoft Office Word</Application>
  <DocSecurity>0</DocSecurity>
  <Lines>883</Lines>
  <Paragraphs>476</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45290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 marschner</dc:creator>
  <cp:keywords/>
  <dc:description/>
  <cp:lastModifiedBy>carri marschner</cp:lastModifiedBy>
  <cp:revision>4</cp:revision>
  <dcterms:created xsi:type="dcterms:W3CDTF">2023-04-21T13:52:00Z</dcterms:created>
  <dcterms:modified xsi:type="dcterms:W3CDTF">2023-04-22T16:17:00Z</dcterms:modified>
</cp:coreProperties>
</file>