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26A7" w14:textId="77777777" w:rsidR="002D640B" w:rsidRPr="001F4999" w:rsidRDefault="002D640B" w:rsidP="002C38B5">
      <w:pPr>
        <w:spacing w:after="0" w:line="240" w:lineRule="auto"/>
        <w:rPr>
          <w:rFonts w:ascii="Times New Roman" w:hAnsi="Times New Roman" w:cs="Times New Roman"/>
          <w:b/>
          <w:bCs/>
        </w:rPr>
      </w:pPr>
      <w:r w:rsidRPr="001F4999">
        <w:rPr>
          <w:rFonts w:ascii="Times New Roman" w:hAnsi="Times New Roman" w:cs="Times New Roman"/>
          <w:b/>
          <w:bCs/>
        </w:rPr>
        <w:t>NE_TEMP 1939 PROPOSAL</w:t>
      </w:r>
    </w:p>
    <w:p w14:paraId="76DECD00" w14:textId="3550FAA9" w:rsidR="002D640B" w:rsidRPr="001F4999" w:rsidRDefault="009C67A6" w:rsidP="002C38B5">
      <w:pPr>
        <w:spacing w:after="0" w:line="240" w:lineRule="auto"/>
        <w:rPr>
          <w:rFonts w:ascii="Times New Roman" w:hAnsi="Times New Roman" w:cs="Times New Roman"/>
          <w:b/>
          <w:bCs/>
        </w:rPr>
      </w:pPr>
      <w:r w:rsidRPr="001F4999">
        <w:rPr>
          <w:rFonts w:ascii="Times New Roman" w:hAnsi="Times New Roman" w:cs="Times New Roman"/>
          <w:b/>
          <w:bCs/>
        </w:rPr>
        <w:t>TITLE: IMPROVING THE HEALTH</w:t>
      </w:r>
      <w:r w:rsidR="002D640B" w:rsidRPr="001F4999">
        <w:rPr>
          <w:rFonts w:ascii="Times New Roman" w:hAnsi="Times New Roman" w:cs="Times New Roman"/>
          <w:b/>
          <w:bCs/>
        </w:rPr>
        <w:t>SPAN OF AGING ADULTS THROUGH DIET AND PHYSICAL ACTIVITY</w:t>
      </w:r>
    </w:p>
    <w:p w14:paraId="5C6B6E43" w14:textId="77777777" w:rsidR="002D640B" w:rsidRPr="001F4999" w:rsidRDefault="002D640B" w:rsidP="002C38B5">
      <w:pPr>
        <w:spacing w:after="0" w:line="240" w:lineRule="auto"/>
        <w:rPr>
          <w:rFonts w:ascii="Times New Roman" w:hAnsi="Times New Roman" w:cs="Times New Roman"/>
          <w:b/>
          <w:bCs/>
        </w:rPr>
      </w:pPr>
    </w:p>
    <w:p w14:paraId="2071E485" w14:textId="54F636B8" w:rsidR="002D640B" w:rsidRPr="001F4999" w:rsidRDefault="00813DA8" w:rsidP="002C38B5">
      <w:pPr>
        <w:spacing w:after="0" w:line="240" w:lineRule="auto"/>
        <w:rPr>
          <w:rFonts w:ascii="Times New Roman" w:hAnsi="Times New Roman" w:cs="Times New Roman"/>
          <w:b/>
          <w:bCs/>
          <w:color w:val="FF0000"/>
        </w:rPr>
      </w:pPr>
      <w:r w:rsidRPr="001F4999">
        <w:rPr>
          <w:rFonts w:ascii="Times New Roman" w:hAnsi="Times New Roman" w:cs="Times New Roman"/>
          <w:b/>
          <w:bCs/>
        </w:rPr>
        <w:t>ISSUES AND JUSTIFICATION</w:t>
      </w:r>
      <w:r w:rsidR="002D640B" w:rsidRPr="001F4999">
        <w:rPr>
          <w:rFonts w:ascii="Times New Roman" w:hAnsi="Times New Roman" w:cs="Times New Roman"/>
          <w:b/>
          <w:bCs/>
        </w:rPr>
        <w:t xml:space="preserve"> </w:t>
      </w:r>
    </w:p>
    <w:p w14:paraId="44C56386" w14:textId="7D39CF03" w:rsidR="00F25751" w:rsidRPr="001F4999" w:rsidRDefault="00F25751" w:rsidP="002C38B5">
      <w:pPr>
        <w:spacing w:after="0" w:line="240" w:lineRule="auto"/>
        <w:rPr>
          <w:rFonts w:ascii="Times New Roman" w:hAnsi="Times New Roman" w:cs="Times New Roman"/>
          <w:b/>
          <w:bCs/>
          <w:color w:val="FF0000"/>
        </w:rPr>
      </w:pPr>
    </w:p>
    <w:p w14:paraId="2DC7A672" w14:textId="349AED93" w:rsidR="00F25751" w:rsidRPr="001F4999" w:rsidRDefault="00F25751" w:rsidP="002C38B5">
      <w:pPr>
        <w:spacing w:after="0" w:line="240" w:lineRule="auto"/>
        <w:rPr>
          <w:rFonts w:ascii="Times New Roman" w:hAnsi="Times New Roman" w:cs="Times New Roman"/>
          <w:bCs/>
        </w:rPr>
      </w:pPr>
      <w:r w:rsidRPr="001F4999">
        <w:rPr>
          <w:rFonts w:ascii="Times New Roman" w:hAnsi="Times New Roman" w:cs="Times New Roman"/>
          <w:b/>
          <w:bCs/>
        </w:rPr>
        <w:tab/>
      </w:r>
      <w:r w:rsidR="00484B65" w:rsidRPr="001F4999">
        <w:rPr>
          <w:rFonts w:ascii="Times New Roman" w:hAnsi="Times New Roman" w:cs="Times New Roman"/>
          <w:bCs/>
        </w:rPr>
        <w:t xml:space="preserve">As the population of aging adults continues to grow, </w:t>
      </w:r>
      <w:r w:rsidR="00737CE3" w:rsidRPr="001F4999">
        <w:rPr>
          <w:rFonts w:ascii="Times New Roman" w:hAnsi="Times New Roman" w:cs="Times New Roman"/>
          <w:bCs/>
        </w:rPr>
        <w:t>better understanding of effective</w:t>
      </w:r>
      <w:r w:rsidR="00484B65" w:rsidRPr="001F4999">
        <w:rPr>
          <w:rFonts w:ascii="Times New Roman" w:hAnsi="Times New Roman" w:cs="Times New Roman"/>
          <w:bCs/>
        </w:rPr>
        <w:t xml:space="preserve"> strategies aimed toward improving the health span is needed. </w:t>
      </w:r>
      <w:r w:rsidRPr="001F4999">
        <w:rPr>
          <w:rFonts w:ascii="Times New Roman" w:hAnsi="Times New Roman" w:cs="Times New Roman"/>
          <w:bCs/>
        </w:rPr>
        <w:t xml:space="preserve">Aging is a multifaceted area of study that is continually exploring how to promote health and well-being throughout the lifespan. </w:t>
      </w:r>
      <w:r w:rsidR="00484B65" w:rsidRPr="001F4999">
        <w:rPr>
          <w:rFonts w:ascii="Times New Roman" w:hAnsi="Times New Roman" w:cs="Times New Roman"/>
          <w:bCs/>
        </w:rPr>
        <w:t>An integrative, interdisciplinary approach toward healthy aging from the metabolic level to translational science is imperative as a</w:t>
      </w:r>
      <w:r w:rsidRPr="001F4999">
        <w:rPr>
          <w:rFonts w:ascii="Times New Roman" w:hAnsi="Times New Roman" w:cs="Times New Roman"/>
          <w:bCs/>
        </w:rPr>
        <w:t>ging is influenced by our genetics, metabolic processes, environment, and lifestyle practices.</w:t>
      </w:r>
      <w:r w:rsidR="009C67A6" w:rsidRPr="001F4999">
        <w:rPr>
          <w:rFonts w:ascii="Times New Roman" w:hAnsi="Times New Roman" w:cs="Times New Roman"/>
          <w:bCs/>
        </w:rPr>
        <w:t xml:space="preserve"> In doing so, it is likely we will improve the healthspan (</w:t>
      </w:r>
      <w:r w:rsidR="009C67A6" w:rsidRPr="001F4999">
        <w:rPr>
          <w:rFonts w:ascii="Times New Roman" w:hAnsi="Times New Roman" w:cs="Times New Roman"/>
          <w:color w:val="222222"/>
          <w:lang w:val="en"/>
        </w:rPr>
        <w:t xml:space="preserve">part of a person’s life during which they are generally in good health) of aging adults. </w:t>
      </w:r>
    </w:p>
    <w:p w14:paraId="3C54D3FD" w14:textId="77777777" w:rsidR="00484B65" w:rsidRPr="001F4999" w:rsidRDefault="00484B65" w:rsidP="002C38B5">
      <w:pPr>
        <w:spacing w:after="0" w:line="240" w:lineRule="auto"/>
        <w:rPr>
          <w:rFonts w:ascii="Times New Roman" w:hAnsi="Times New Roman" w:cs="Times New Roman"/>
          <w:bCs/>
        </w:rPr>
      </w:pPr>
    </w:p>
    <w:p w14:paraId="4C589689" w14:textId="77777777" w:rsidR="002D640B" w:rsidRPr="001F4999" w:rsidRDefault="002D640B" w:rsidP="002C38B5">
      <w:pPr>
        <w:spacing w:after="0" w:line="240" w:lineRule="auto"/>
        <w:rPr>
          <w:rFonts w:ascii="Times New Roman" w:eastAsia="Times New Roman" w:hAnsi="Times New Roman" w:cs="Times New Roman"/>
          <w:b/>
          <w:lang w:val="en"/>
        </w:rPr>
      </w:pPr>
      <w:r w:rsidRPr="001F4999">
        <w:rPr>
          <w:rFonts w:ascii="Times New Roman" w:eastAsia="Times New Roman" w:hAnsi="Times New Roman" w:cs="Times New Roman"/>
          <w:b/>
          <w:lang w:val="en"/>
        </w:rPr>
        <w:t>The need, as indicated by stakeholders</w:t>
      </w:r>
    </w:p>
    <w:p w14:paraId="7D93E5E6" w14:textId="1B173F61" w:rsidR="002D640B"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u w:val="single"/>
        </w:rPr>
        <w:t>Older adults.</w:t>
      </w:r>
      <w:r w:rsidRPr="001F4999">
        <w:rPr>
          <w:rFonts w:ascii="Times New Roman" w:hAnsi="Times New Roman" w:cs="Times New Roman"/>
          <w:i/>
        </w:rPr>
        <w:t xml:space="preserve"> </w:t>
      </w:r>
      <w:r w:rsidRPr="001F4999">
        <w:rPr>
          <w:rFonts w:ascii="Times New Roman" w:hAnsi="Times New Roman" w:cs="Times New Roman"/>
        </w:rPr>
        <w:t>Aging adults face numerous barriers towards achieving optimal health and wellness including chronic disease, nutritional risk, food insecurity and functional impairments. The United States (U.S.) population is experiencing a shift in demographics. Adults aged 60 years and older have become the largest growing age group. It is estimated that around 1 in 7 Americans classify as an older adult, with about 20.4% age 60 years and older and 14.5% age 65 years and older</w:t>
      </w:r>
      <w:r w:rsidR="001B50A1" w:rsidRPr="001F4999">
        <w:rPr>
          <w:rFonts w:ascii="Times New Roman" w:hAnsi="Times New Roman" w:cs="Times New Roman"/>
        </w:rPr>
        <w:t xml:space="preserve"> </w:t>
      </w:r>
      <w:r w:rsidR="001B50A1" w:rsidRPr="001F4999">
        <w:rPr>
          <w:rFonts w:ascii="Times New Roman" w:hAnsi="Times New Roman" w:cs="Times New Roman"/>
          <w:vertAlign w:val="superscript"/>
        </w:rPr>
        <w:t>59</w:t>
      </w:r>
      <w:r w:rsidRPr="001F4999">
        <w:rPr>
          <w:rFonts w:ascii="Times New Roman" w:hAnsi="Times New Roman" w:cs="Times New Roman"/>
        </w:rPr>
        <w:t>.There is also a steady increase of older adults identifying as persons of color. The number of persons of color age 60 years and older increased 23% from 2006 to 2016 and is projected to increase to around 21.1 million</w:t>
      </w:r>
      <w:r w:rsidR="001B50A1" w:rsidRPr="001F4999">
        <w:rPr>
          <w:rFonts w:ascii="Times New Roman" w:hAnsi="Times New Roman" w:cs="Times New Roman"/>
        </w:rPr>
        <w:t xml:space="preserve"> </w:t>
      </w:r>
      <w:r w:rsidR="001B50A1" w:rsidRPr="001F4999">
        <w:rPr>
          <w:rFonts w:ascii="Times New Roman" w:hAnsi="Times New Roman" w:cs="Times New Roman"/>
          <w:vertAlign w:val="superscript"/>
        </w:rPr>
        <w:t>1</w:t>
      </w:r>
      <w:r w:rsidRPr="001F4999">
        <w:rPr>
          <w:rFonts w:ascii="Times New Roman" w:hAnsi="Times New Roman" w:cs="Times New Roman"/>
        </w:rPr>
        <w:t>. Based on these demographics, nutrition</w:t>
      </w:r>
      <w:r w:rsidR="005E001A" w:rsidRPr="001F4999">
        <w:rPr>
          <w:rFonts w:ascii="Times New Roman" w:hAnsi="Times New Roman" w:cs="Times New Roman"/>
        </w:rPr>
        <w:t>,</w:t>
      </w:r>
      <w:r w:rsidRPr="001F4999">
        <w:rPr>
          <w:rFonts w:ascii="Times New Roman" w:hAnsi="Times New Roman" w:cs="Times New Roman"/>
        </w:rPr>
        <w:t xml:space="preserve"> physical activity </w:t>
      </w:r>
      <w:r w:rsidR="005E001A" w:rsidRPr="001F4999">
        <w:rPr>
          <w:rFonts w:ascii="Times New Roman" w:hAnsi="Times New Roman" w:cs="Times New Roman"/>
        </w:rPr>
        <w:t xml:space="preserve">and biomarker </w:t>
      </w:r>
      <w:r w:rsidRPr="001F4999">
        <w:rPr>
          <w:rFonts w:ascii="Times New Roman" w:hAnsi="Times New Roman" w:cs="Times New Roman"/>
        </w:rPr>
        <w:t>research for aging adults must include a diverse sample. A multistate approach is one strategy in which to achieve this.</w:t>
      </w:r>
    </w:p>
    <w:p w14:paraId="2DE7AA7B" w14:textId="2A43DFE3" w:rsidR="002D640B"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u w:val="single"/>
        </w:rPr>
        <w:t>Poverty.</w:t>
      </w:r>
      <w:r w:rsidRPr="001F4999">
        <w:rPr>
          <w:rFonts w:ascii="Times New Roman" w:hAnsi="Times New Roman" w:cs="Times New Roman"/>
        </w:rPr>
        <w:t xml:space="preserve"> Poverty affects many older adults. In 2016, 14.5% of older adults were living below the poverty level per the Supplemental Poverty Measure</w:t>
      </w:r>
      <w:r w:rsidR="001B50A1" w:rsidRPr="001F4999">
        <w:rPr>
          <w:rFonts w:ascii="Times New Roman" w:hAnsi="Times New Roman" w:cs="Times New Roman"/>
        </w:rPr>
        <w:t xml:space="preserve"> </w:t>
      </w:r>
      <w:r w:rsidR="001B50A1" w:rsidRPr="001F4999">
        <w:rPr>
          <w:rFonts w:ascii="Times New Roman" w:hAnsi="Times New Roman" w:cs="Times New Roman"/>
          <w:vertAlign w:val="superscript"/>
        </w:rPr>
        <w:t>1</w:t>
      </w:r>
      <w:r w:rsidRPr="001F4999">
        <w:rPr>
          <w:rFonts w:ascii="Times New Roman" w:hAnsi="Times New Roman" w:cs="Times New Roman"/>
        </w:rPr>
        <w:t xml:space="preserve">. An additional 4.9% were found to be “near-poor” (ACL USDHHS, 2018). Of this proportion of older adults living below the poverty line, roughly half were persons of color </w:t>
      </w:r>
      <w:r w:rsidR="001B50A1" w:rsidRPr="001F4999">
        <w:rPr>
          <w:rFonts w:ascii="Times New Roman" w:hAnsi="Times New Roman" w:cs="Times New Roman"/>
          <w:vertAlign w:val="superscript"/>
        </w:rPr>
        <w:t>1</w:t>
      </w:r>
      <w:r w:rsidRPr="001F4999">
        <w:rPr>
          <w:rFonts w:ascii="Times New Roman" w:hAnsi="Times New Roman" w:cs="Times New Roman"/>
        </w:rPr>
        <w:t xml:space="preserve">. Older women </w:t>
      </w:r>
      <w:r w:rsidR="002C38B5" w:rsidRPr="001F4999">
        <w:rPr>
          <w:rFonts w:ascii="Times New Roman" w:hAnsi="Times New Roman" w:cs="Times New Roman"/>
        </w:rPr>
        <w:t>are</w:t>
      </w:r>
      <w:r w:rsidRPr="001F4999">
        <w:rPr>
          <w:rFonts w:ascii="Times New Roman" w:hAnsi="Times New Roman" w:cs="Times New Roman"/>
        </w:rPr>
        <w:t xml:space="preserve"> also more likely to be classified as living in a state of poverty, at 10.6% compared to 7.6% among older men </w:t>
      </w:r>
      <w:r w:rsidR="001B50A1" w:rsidRPr="001F4999">
        <w:rPr>
          <w:rFonts w:ascii="Times New Roman" w:hAnsi="Times New Roman" w:cs="Times New Roman"/>
          <w:vertAlign w:val="superscript"/>
        </w:rPr>
        <w:t>1</w:t>
      </w:r>
      <w:r w:rsidRPr="001F4999">
        <w:rPr>
          <w:rFonts w:ascii="Times New Roman" w:hAnsi="Times New Roman" w:cs="Times New Roman"/>
        </w:rPr>
        <w:t xml:space="preserve">. </w:t>
      </w:r>
      <w:r w:rsidR="001B50A1" w:rsidRPr="001F4999">
        <w:rPr>
          <w:rFonts w:ascii="Times New Roman" w:hAnsi="Times New Roman" w:cs="Times New Roman"/>
        </w:rPr>
        <w:t>Consequently, l</w:t>
      </w:r>
      <w:r w:rsidR="00B321D6" w:rsidRPr="001F4999">
        <w:rPr>
          <w:rFonts w:ascii="Times New Roman" w:hAnsi="Times New Roman" w:cs="Times New Roman"/>
        </w:rPr>
        <w:t>imited income adversely affects the nutrition intake of older adults</w:t>
      </w:r>
      <w:r w:rsidR="001B50A1" w:rsidRPr="001F4999">
        <w:rPr>
          <w:rFonts w:ascii="Times New Roman" w:hAnsi="Times New Roman" w:cs="Times New Roman"/>
          <w:vertAlign w:val="superscript"/>
        </w:rPr>
        <w:t xml:space="preserve"> 30</w:t>
      </w:r>
      <w:r w:rsidR="00B321D6" w:rsidRPr="001F4999">
        <w:rPr>
          <w:rFonts w:ascii="Times New Roman" w:hAnsi="Times New Roman" w:cs="Times New Roman"/>
        </w:rPr>
        <w:t>.</w:t>
      </w:r>
      <w:r w:rsidR="00B321D6" w:rsidRPr="001F4999" w:rsidDel="00B321D6">
        <w:rPr>
          <w:rFonts w:ascii="Times New Roman" w:hAnsi="Times New Roman" w:cs="Times New Roman"/>
        </w:rPr>
        <w:t xml:space="preserve"> </w:t>
      </w:r>
    </w:p>
    <w:p w14:paraId="2B840953" w14:textId="40EA36D0" w:rsidR="002D640B"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u w:val="single"/>
        </w:rPr>
        <w:t>Food insecurity</w:t>
      </w:r>
      <w:r w:rsidRPr="001F4999">
        <w:rPr>
          <w:rFonts w:ascii="Times New Roman" w:hAnsi="Times New Roman" w:cs="Times New Roman"/>
        </w:rPr>
        <w:t xml:space="preserve">. Food insecurity and hunger can have profound impacts on nutritional status and health-related quality of life (QOL). Although food insecurity and hunger are often used interchangeably, the two are different degrees of the same indicators. Food insecurity is characterized by having </w:t>
      </w:r>
      <w:r w:rsidR="00824573" w:rsidRPr="001F4999">
        <w:rPr>
          <w:rFonts w:ascii="Times New Roman" w:hAnsi="Times New Roman" w:cs="Times New Roman"/>
        </w:rPr>
        <w:t xml:space="preserve">inconsistent </w:t>
      </w:r>
      <w:r w:rsidRPr="001F4999">
        <w:rPr>
          <w:rFonts w:ascii="Times New Roman" w:hAnsi="Times New Roman" w:cs="Times New Roman"/>
        </w:rPr>
        <w:t xml:space="preserve">access and uncertainty in obtaining food, putting individuals at higher risk for malnutrition, chronic disease, and low QOL </w:t>
      </w:r>
      <w:r w:rsidR="001B50A1" w:rsidRPr="001F4999">
        <w:rPr>
          <w:rFonts w:ascii="Times New Roman" w:hAnsi="Times New Roman" w:cs="Times New Roman"/>
          <w:vertAlign w:val="superscript"/>
        </w:rPr>
        <w:t>24</w:t>
      </w:r>
      <w:r w:rsidRPr="001F4999">
        <w:rPr>
          <w:rFonts w:ascii="Times New Roman" w:hAnsi="Times New Roman" w:cs="Times New Roman"/>
        </w:rPr>
        <w:t xml:space="preserve">. The threat of food insecurity and hunger among older adults is rapidly increasing with about 15.8 % </w:t>
      </w:r>
      <w:r w:rsidR="001B50A1" w:rsidRPr="001F4999">
        <w:rPr>
          <w:rFonts w:ascii="Times New Roman" w:hAnsi="Times New Roman" w:cs="Times New Roman"/>
          <w:vertAlign w:val="superscript"/>
        </w:rPr>
        <w:t>60</w:t>
      </w:r>
      <w:r w:rsidRPr="001F4999">
        <w:rPr>
          <w:rFonts w:ascii="Times New Roman" w:hAnsi="Times New Roman" w:cs="Times New Roman"/>
        </w:rPr>
        <w:t xml:space="preserve"> being food insecure and 14.7% facing the threat of hunger </w:t>
      </w:r>
      <w:r w:rsidR="001B50A1" w:rsidRPr="001F4999">
        <w:rPr>
          <w:rFonts w:ascii="Times New Roman" w:hAnsi="Times New Roman" w:cs="Times New Roman"/>
          <w:vertAlign w:val="superscript"/>
        </w:rPr>
        <w:t>71</w:t>
      </w:r>
      <w:r w:rsidRPr="001F4999">
        <w:rPr>
          <w:rFonts w:ascii="Times New Roman" w:hAnsi="Times New Roman" w:cs="Times New Roman"/>
        </w:rPr>
        <w:t>. Older adults at greatest risk include those with a low income, those under the age of 70</w:t>
      </w:r>
      <w:r w:rsidR="00737CE3" w:rsidRPr="001F4999">
        <w:rPr>
          <w:rFonts w:ascii="Times New Roman" w:hAnsi="Times New Roman" w:cs="Times New Roman"/>
        </w:rPr>
        <w:t xml:space="preserve"> years</w:t>
      </w:r>
      <w:r w:rsidRPr="001F4999">
        <w:rPr>
          <w:rFonts w:ascii="Times New Roman" w:hAnsi="Times New Roman" w:cs="Times New Roman"/>
        </w:rPr>
        <w:t xml:space="preserve">, being a person of color, and residing in the southern states </w:t>
      </w:r>
      <w:r w:rsidR="001B50A1" w:rsidRPr="001F4999">
        <w:rPr>
          <w:rFonts w:ascii="Times New Roman" w:hAnsi="Times New Roman" w:cs="Times New Roman"/>
          <w:vertAlign w:val="superscript"/>
        </w:rPr>
        <w:t>71</w:t>
      </w:r>
      <w:r w:rsidRPr="001F4999">
        <w:rPr>
          <w:rFonts w:ascii="Times New Roman" w:hAnsi="Times New Roman" w:cs="Times New Roman"/>
        </w:rPr>
        <w:t xml:space="preserve">. Food insecurity is correlated with lower energy and nutrient intakes, worse health outcomes, increased risk of early mortality and increased health care expenditures </w:t>
      </w:r>
      <w:r w:rsidR="001B50A1" w:rsidRPr="001F4999">
        <w:rPr>
          <w:rFonts w:ascii="Times New Roman" w:hAnsi="Times New Roman" w:cs="Times New Roman"/>
          <w:vertAlign w:val="superscript"/>
        </w:rPr>
        <w:t>7, 8, 71</w:t>
      </w:r>
      <w:r w:rsidRPr="001F4999">
        <w:rPr>
          <w:rFonts w:ascii="Times New Roman" w:hAnsi="Times New Roman" w:cs="Times New Roman"/>
        </w:rPr>
        <w:t xml:space="preserve">. </w:t>
      </w:r>
      <w:r w:rsidR="002C38B5" w:rsidRPr="001F4999">
        <w:rPr>
          <w:rFonts w:ascii="Times New Roman" w:hAnsi="Times New Roman" w:cs="Times New Roman"/>
        </w:rPr>
        <w:t>Food insecurity and hunger affect more a</w:t>
      </w:r>
      <w:r w:rsidRPr="001F4999">
        <w:rPr>
          <w:rFonts w:ascii="Times New Roman" w:hAnsi="Times New Roman" w:cs="Times New Roman"/>
        </w:rPr>
        <w:t xml:space="preserve">ging women than aging men </w:t>
      </w:r>
      <w:r w:rsidR="001B50A1" w:rsidRPr="001F4999">
        <w:rPr>
          <w:rFonts w:ascii="Times New Roman" w:hAnsi="Times New Roman" w:cs="Times New Roman"/>
          <w:vertAlign w:val="superscript"/>
        </w:rPr>
        <w:t>71</w:t>
      </w:r>
      <w:r w:rsidRPr="001F4999">
        <w:rPr>
          <w:rFonts w:ascii="Times New Roman" w:hAnsi="Times New Roman" w:cs="Times New Roman"/>
        </w:rPr>
        <w:t xml:space="preserve">. In addition, food insecurity is </w:t>
      </w:r>
      <w:r w:rsidR="00824573" w:rsidRPr="001F4999">
        <w:rPr>
          <w:rFonts w:ascii="Times New Roman" w:hAnsi="Times New Roman" w:cs="Times New Roman"/>
        </w:rPr>
        <w:t xml:space="preserve">associated </w:t>
      </w:r>
      <w:r w:rsidRPr="001F4999">
        <w:rPr>
          <w:rFonts w:ascii="Times New Roman" w:hAnsi="Times New Roman" w:cs="Times New Roman"/>
        </w:rPr>
        <w:t xml:space="preserve">with higher likelihood of having limitations performing activities of daily living (ADLs) </w:t>
      </w:r>
      <w:r w:rsidR="001B50A1" w:rsidRPr="001F4999">
        <w:rPr>
          <w:rFonts w:ascii="Times New Roman" w:hAnsi="Times New Roman" w:cs="Times New Roman"/>
          <w:vertAlign w:val="superscript"/>
        </w:rPr>
        <w:t>72</w:t>
      </w:r>
      <w:r w:rsidRPr="001F4999">
        <w:rPr>
          <w:rFonts w:ascii="Times New Roman" w:hAnsi="Times New Roman" w:cs="Times New Roman"/>
        </w:rPr>
        <w:t xml:space="preserve">. Furthermore, older adults who were facing the threat of hunger are 30% more likely to report at least one ADL limitation </w:t>
      </w:r>
      <w:r w:rsidR="001B50A1" w:rsidRPr="001F4999">
        <w:rPr>
          <w:rFonts w:ascii="Times New Roman" w:hAnsi="Times New Roman" w:cs="Times New Roman"/>
          <w:vertAlign w:val="superscript"/>
        </w:rPr>
        <w:t>71</w:t>
      </w:r>
      <w:r w:rsidRPr="001F4999">
        <w:rPr>
          <w:rFonts w:ascii="Times New Roman" w:hAnsi="Times New Roman" w:cs="Times New Roman"/>
        </w:rPr>
        <w:t xml:space="preserve">. </w:t>
      </w:r>
    </w:p>
    <w:p w14:paraId="6B51D22F" w14:textId="4F51FE3E" w:rsidR="002C38B5"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u w:val="single"/>
        </w:rPr>
        <w:t>Nutritional Risk.</w:t>
      </w:r>
      <w:r w:rsidRPr="001F4999">
        <w:rPr>
          <w:rFonts w:ascii="Times New Roman" w:hAnsi="Times New Roman" w:cs="Times New Roman"/>
        </w:rPr>
        <w:t xml:space="preserve">  Nutritional risk increases with age due to a variety of factors such as decreased appetite, chewing and swallowing difficulties, physical limitations, limited income, reduced social interaction, and chronic disease. Nutritional risk encompasses both ends of the health spectrum, undernutrition and overnutrition, with </w:t>
      </w:r>
      <w:r w:rsidR="001C7F89" w:rsidRPr="001F4999">
        <w:rPr>
          <w:rFonts w:ascii="Times New Roman" w:hAnsi="Times New Roman" w:cs="Times New Roman"/>
        </w:rPr>
        <w:t xml:space="preserve">each </w:t>
      </w:r>
      <w:r w:rsidRPr="001F4999">
        <w:rPr>
          <w:rFonts w:ascii="Times New Roman" w:hAnsi="Times New Roman" w:cs="Times New Roman"/>
        </w:rPr>
        <w:t xml:space="preserve">having equally detrimental health consequences. The prevalence of malnutrition among older adults is problematic, since a nutrient-poor diet is related to morbidity and mortality, physical impairments, functional disability and a greater frequency of admittance into hospitals and other long-term care facilities </w:t>
      </w:r>
      <w:r w:rsidR="00737CE3" w:rsidRPr="001F4999">
        <w:rPr>
          <w:rFonts w:ascii="Times New Roman" w:hAnsi="Times New Roman" w:cs="Times New Roman"/>
          <w:vertAlign w:val="superscript"/>
        </w:rPr>
        <w:t>21</w:t>
      </w:r>
      <w:r w:rsidRPr="001F4999">
        <w:rPr>
          <w:rFonts w:ascii="Times New Roman" w:hAnsi="Times New Roman" w:cs="Times New Roman"/>
        </w:rPr>
        <w:t xml:space="preserve">. The </w:t>
      </w:r>
      <w:r w:rsidR="00B321D6" w:rsidRPr="001F4999">
        <w:rPr>
          <w:rFonts w:ascii="Times New Roman" w:hAnsi="Times New Roman" w:cs="Times New Roman"/>
        </w:rPr>
        <w:t>USDA NE-1439 Multistate Project “</w:t>
      </w:r>
      <w:r w:rsidR="00B321D6" w:rsidRPr="001F4999">
        <w:rPr>
          <w:rFonts w:ascii="Times New Roman" w:hAnsi="Times New Roman" w:cs="Times New Roman"/>
          <w:lang w:val="en"/>
        </w:rPr>
        <w:t>Changing the Health Trajectory for Older Adults through Effective Diet and Activity Modifications”</w:t>
      </w:r>
      <w:r w:rsidRPr="001F4999">
        <w:rPr>
          <w:rFonts w:ascii="Times New Roman" w:hAnsi="Times New Roman" w:cs="Times New Roman"/>
        </w:rPr>
        <w:t xml:space="preserve"> team has </w:t>
      </w:r>
      <w:r w:rsidRPr="001F4999">
        <w:rPr>
          <w:rFonts w:ascii="Times New Roman" w:hAnsi="Times New Roman" w:cs="Times New Roman"/>
        </w:rPr>
        <w:lastRenderedPageBreak/>
        <w:t xml:space="preserve">conducted various studies examining the dietary practices of older adults. A three-state study revealed that 80.1% of older adults electing to take part in community nutrition programs were classified as “at nutritional risk” or “at possible nutritional risk” </w:t>
      </w:r>
      <w:r w:rsidR="00737CE3" w:rsidRPr="001F4999">
        <w:rPr>
          <w:rFonts w:ascii="Times New Roman" w:hAnsi="Times New Roman" w:cs="Times New Roman"/>
          <w:vertAlign w:val="superscript"/>
        </w:rPr>
        <w:t>39</w:t>
      </w:r>
      <w:r w:rsidRPr="001F4999">
        <w:rPr>
          <w:rFonts w:ascii="Times New Roman" w:hAnsi="Times New Roman" w:cs="Times New Roman"/>
        </w:rPr>
        <w:t>. Poor diets can have a profound effect on cell physiology altering inflammatory markers and oxidative stress</w:t>
      </w:r>
      <w:r w:rsidR="002C38B5" w:rsidRPr="001F4999">
        <w:rPr>
          <w:rFonts w:ascii="Times New Roman" w:hAnsi="Times New Roman" w:cs="Times New Roman"/>
        </w:rPr>
        <w:t>,</w:t>
      </w:r>
      <w:r w:rsidRPr="001F4999">
        <w:rPr>
          <w:rFonts w:ascii="Times New Roman" w:hAnsi="Times New Roman" w:cs="Times New Roman"/>
        </w:rPr>
        <w:t xml:space="preserve"> </w:t>
      </w:r>
      <w:r w:rsidR="001C7F89" w:rsidRPr="001F4999">
        <w:rPr>
          <w:rFonts w:ascii="Times New Roman" w:hAnsi="Times New Roman" w:cs="Times New Roman"/>
        </w:rPr>
        <w:t xml:space="preserve">which contribute to </w:t>
      </w:r>
      <w:r w:rsidRPr="001F4999">
        <w:rPr>
          <w:rFonts w:ascii="Times New Roman" w:hAnsi="Times New Roman" w:cs="Times New Roman"/>
        </w:rPr>
        <w:t xml:space="preserve">telomere erosion and cellular senescence. Our work demonstrates the need for better understanding of </w:t>
      </w:r>
      <w:r w:rsidR="001C7F89" w:rsidRPr="001F4999">
        <w:rPr>
          <w:rFonts w:ascii="Times New Roman" w:hAnsi="Times New Roman" w:cs="Times New Roman"/>
        </w:rPr>
        <w:t xml:space="preserve">the bidirectional relationships of the nutritional status of </w:t>
      </w:r>
      <w:r w:rsidRPr="001F4999">
        <w:rPr>
          <w:rFonts w:ascii="Times New Roman" w:hAnsi="Times New Roman" w:cs="Times New Roman"/>
        </w:rPr>
        <w:t xml:space="preserve">aging </w:t>
      </w:r>
      <w:r w:rsidR="001C7F89" w:rsidRPr="001F4999">
        <w:rPr>
          <w:rFonts w:ascii="Times New Roman" w:hAnsi="Times New Roman" w:cs="Times New Roman"/>
        </w:rPr>
        <w:t xml:space="preserve">and the impact of </w:t>
      </w:r>
      <w:r w:rsidRPr="001F4999">
        <w:rPr>
          <w:rFonts w:ascii="Times New Roman" w:hAnsi="Times New Roman" w:cs="Times New Roman"/>
        </w:rPr>
        <w:t xml:space="preserve">nutritional status </w:t>
      </w:r>
      <w:r w:rsidR="001C7F89" w:rsidRPr="001F4999">
        <w:rPr>
          <w:rFonts w:ascii="Times New Roman" w:hAnsi="Times New Roman" w:cs="Times New Roman"/>
        </w:rPr>
        <w:t xml:space="preserve">on </w:t>
      </w:r>
      <w:r w:rsidRPr="001F4999">
        <w:rPr>
          <w:rFonts w:ascii="Times New Roman" w:hAnsi="Times New Roman" w:cs="Times New Roman"/>
        </w:rPr>
        <w:t>health</w:t>
      </w:r>
      <w:r w:rsidR="001C7F89" w:rsidRPr="001F4999">
        <w:rPr>
          <w:rFonts w:ascii="Times New Roman" w:hAnsi="Times New Roman" w:cs="Times New Roman"/>
        </w:rPr>
        <w:t xml:space="preserve"> outcomes</w:t>
      </w:r>
      <w:r w:rsidRPr="001F4999">
        <w:rPr>
          <w:rFonts w:ascii="Times New Roman" w:hAnsi="Times New Roman" w:cs="Times New Roman"/>
        </w:rPr>
        <w:t xml:space="preserve">. An interdisciplinary approach would enable researchers to examine these issues at </w:t>
      </w:r>
      <w:r w:rsidR="001C7F89" w:rsidRPr="001F4999">
        <w:rPr>
          <w:rFonts w:ascii="Times New Roman" w:hAnsi="Times New Roman" w:cs="Times New Roman"/>
        </w:rPr>
        <w:t>the</w:t>
      </w:r>
      <w:r w:rsidRPr="001F4999">
        <w:rPr>
          <w:rFonts w:ascii="Times New Roman" w:hAnsi="Times New Roman" w:cs="Times New Roman"/>
        </w:rPr>
        <w:t xml:space="preserve"> cellular, individual and societal level</w:t>
      </w:r>
      <w:r w:rsidR="001C7F89" w:rsidRPr="001F4999">
        <w:rPr>
          <w:rFonts w:ascii="Times New Roman" w:hAnsi="Times New Roman" w:cs="Times New Roman"/>
        </w:rPr>
        <w:t>s</w:t>
      </w:r>
      <w:r w:rsidRPr="001F4999">
        <w:rPr>
          <w:rFonts w:ascii="Times New Roman" w:hAnsi="Times New Roman" w:cs="Times New Roman"/>
        </w:rPr>
        <w:t xml:space="preserve">.  </w:t>
      </w:r>
    </w:p>
    <w:p w14:paraId="0151D0A1" w14:textId="39A7B999" w:rsidR="002C38B5"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u w:val="single"/>
        </w:rPr>
        <w:t>Dietary Intakes.</w:t>
      </w:r>
      <w:r w:rsidRPr="001F4999">
        <w:rPr>
          <w:rFonts w:ascii="Times New Roman" w:hAnsi="Times New Roman" w:cs="Times New Roman"/>
        </w:rPr>
        <w:t xml:space="preserve"> A primary factor affecting the nutritional status of older adults is </w:t>
      </w:r>
      <w:r w:rsidR="001C7F89" w:rsidRPr="001F4999">
        <w:rPr>
          <w:rFonts w:ascii="Times New Roman" w:hAnsi="Times New Roman" w:cs="Times New Roman"/>
        </w:rPr>
        <w:t>in</w:t>
      </w:r>
      <w:r w:rsidRPr="001F4999">
        <w:rPr>
          <w:rFonts w:ascii="Times New Roman" w:hAnsi="Times New Roman" w:cs="Times New Roman"/>
        </w:rPr>
        <w:t xml:space="preserve">adequate </w:t>
      </w:r>
      <w:r w:rsidR="001C7F89" w:rsidRPr="001F4999">
        <w:rPr>
          <w:rFonts w:ascii="Times New Roman" w:hAnsi="Times New Roman" w:cs="Times New Roman"/>
        </w:rPr>
        <w:t>food and nutrient intakes</w:t>
      </w:r>
      <w:r w:rsidRPr="001F4999">
        <w:rPr>
          <w:rFonts w:ascii="Times New Roman" w:hAnsi="Times New Roman" w:cs="Times New Roman"/>
        </w:rPr>
        <w:t xml:space="preserve">. MyPlate recommendations suggest adults </w:t>
      </w:r>
      <w:r w:rsidR="00B52B0C" w:rsidRPr="001F4999">
        <w:rPr>
          <w:rFonts w:ascii="Times New Roman" w:hAnsi="Times New Roman" w:cs="Times New Roman"/>
        </w:rPr>
        <w:t xml:space="preserve">over </w:t>
      </w:r>
      <w:r w:rsidR="00737CE3" w:rsidRPr="001F4999">
        <w:rPr>
          <w:rFonts w:ascii="Times New Roman" w:hAnsi="Times New Roman" w:cs="Times New Roman"/>
        </w:rPr>
        <w:t xml:space="preserve">age </w:t>
      </w:r>
      <w:r w:rsidR="00B52B0C" w:rsidRPr="001F4999">
        <w:rPr>
          <w:rFonts w:ascii="Times New Roman" w:hAnsi="Times New Roman" w:cs="Times New Roman"/>
        </w:rPr>
        <w:t>50</w:t>
      </w:r>
      <w:r w:rsidRPr="001F4999">
        <w:rPr>
          <w:rFonts w:ascii="Times New Roman" w:hAnsi="Times New Roman" w:cs="Times New Roman"/>
        </w:rPr>
        <w:t xml:space="preserve"> years consume 1½ to 2 cups of fruits, 2 to 2½ cups of vegetables, 5 to 6 ounce-equivalents of grains, 5 to 5½ ounce-equivalents of protein and 3 cups of dairy daily </w:t>
      </w:r>
      <w:r w:rsidR="00737CE3" w:rsidRPr="001F4999">
        <w:rPr>
          <w:rFonts w:ascii="Times New Roman" w:hAnsi="Times New Roman" w:cs="Times New Roman"/>
          <w:vertAlign w:val="superscript"/>
        </w:rPr>
        <w:t>61</w:t>
      </w:r>
      <w:r w:rsidRPr="001F4999">
        <w:rPr>
          <w:rFonts w:ascii="Times New Roman" w:hAnsi="Times New Roman" w:cs="Times New Roman"/>
        </w:rPr>
        <w:t xml:space="preserve">. However, based on the Healthy Eating Index, only 18% of adults age 60+ years </w:t>
      </w:r>
      <w:r w:rsidR="00B321D6" w:rsidRPr="001F4999">
        <w:rPr>
          <w:rFonts w:ascii="Times New Roman" w:hAnsi="Times New Roman" w:cs="Times New Roman"/>
        </w:rPr>
        <w:t>meet</w:t>
      </w:r>
      <w:r w:rsidRPr="001F4999">
        <w:rPr>
          <w:rFonts w:ascii="Times New Roman" w:hAnsi="Times New Roman" w:cs="Times New Roman"/>
        </w:rPr>
        <w:t xml:space="preserve"> grain recommendations, 32% meet recommendations for vegetables, 34% meet total fat recommendations and between 23-27% </w:t>
      </w:r>
      <w:r w:rsidR="00B321D6" w:rsidRPr="001F4999">
        <w:rPr>
          <w:rFonts w:ascii="Times New Roman" w:hAnsi="Times New Roman" w:cs="Times New Roman"/>
        </w:rPr>
        <w:t xml:space="preserve">consume </w:t>
      </w:r>
      <w:r w:rsidRPr="001F4999">
        <w:rPr>
          <w:rFonts w:ascii="Times New Roman" w:hAnsi="Times New Roman" w:cs="Times New Roman"/>
        </w:rPr>
        <w:t xml:space="preserve">the recommended amount of meat, dairy and fruit </w:t>
      </w:r>
      <w:r w:rsidR="00737CE3" w:rsidRPr="001F4999">
        <w:rPr>
          <w:rFonts w:ascii="Times New Roman" w:hAnsi="Times New Roman" w:cs="Times New Roman"/>
          <w:vertAlign w:val="superscript"/>
        </w:rPr>
        <w:t>18</w:t>
      </w:r>
      <w:r w:rsidRPr="001F4999">
        <w:rPr>
          <w:rFonts w:ascii="Times New Roman" w:hAnsi="Times New Roman" w:cs="Times New Roman"/>
        </w:rPr>
        <w:t xml:space="preserve">. </w:t>
      </w:r>
      <w:r w:rsidR="00B52B0C" w:rsidRPr="001F4999">
        <w:rPr>
          <w:rFonts w:ascii="Times New Roman" w:hAnsi="Times New Roman" w:cs="Times New Roman"/>
        </w:rPr>
        <w:t xml:space="preserve">Inadequate food intakes and aging can affect micronutrient status. </w:t>
      </w:r>
      <w:r w:rsidR="002C38B5" w:rsidRPr="001F4999">
        <w:rPr>
          <w:rFonts w:ascii="Times New Roman" w:hAnsi="Times New Roman" w:cs="Times New Roman"/>
        </w:rPr>
        <w:t>For example, i</w:t>
      </w:r>
      <w:r w:rsidRPr="001F4999">
        <w:rPr>
          <w:rFonts w:ascii="Times New Roman" w:hAnsi="Times New Roman" w:cs="Times New Roman"/>
        </w:rPr>
        <w:t xml:space="preserve">t is estimated that selenium status in 10% </w:t>
      </w:r>
      <w:r w:rsidR="00B52B0C" w:rsidRPr="001F4999">
        <w:rPr>
          <w:rFonts w:ascii="Times New Roman" w:hAnsi="Times New Roman" w:cs="Times New Roman"/>
        </w:rPr>
        <w:t xml:space="preserve">of </w:t>
      </w:r>
      <w:r w:rsidRPr="001F4999">
        <w:rPr>
          <w:rFonts w:ascii="Times New Roman" w:hAnsi="Times New Roman" w:cs="Times New Roman"/>
        </w:rPr>
        <w:t xml:space="preserve">Americans aged 40 or older is sub-optimal. These levels of marginal deficiency increase the susceptibility to many age-related degeneration later in life. </w:t>
      </w:r>
      <w:r w:rsidR="00B67C25" w:rsidRPr="001F4999">
        <w:rPr>
          <w:rFonts w:ascii="Times New Roman" w:hAnsi="Times New Roman" w:cs="Times New Roman"/>
        </w:rPr>
        <w:t xml:space="preserve">High dietary selenium intake has also been reported to increase muscle protein levels by 10-14% in adult pigs </w:t>
      </w:r>
      <w:r w:rsidR="00737CE3" w:rsidRPr="001F4999">
        <w:rPr>
          <w:rFonts w:ascii="Times New Roman" w:hAnsi="Times New Roman" w:cs="Times New Roman"/>
          <w:vertAlign w:val="superscript"/>
        </w:rPr>
        <w:t>70</w:t>
      </w:r>
      <w:r w:rsidR="00B67C25" w:rsidRPr="001F4999">
        <w:rPr>
          <w:rFonts w:ascii="Times New Roman" w:hAnsi="Times New Roman" w:cs="Times New Roman"/>
        </w:rPr>
        <w:t xml:space="preserve">. Inversely, whether or not a high protein diet affects body selenium status among aging adults is unknown.  </w:t>
      </w:r>
    </w:p>
    <w:p w14:paraId="27FAE8FA" w14:textId="507D01F8" w:rsidR="00F2730A" w:rsidRPr="001F4999" w:rsidRDefault="002C38B5" w:rsidP="002C38B5">
      <w:pPr>
        <w:spacing w:after="0" w:line="240" w:lineRule="auto"/>
        <w:ind w:firstLine="720"/>
        <w:rPr>
          <w:rFonts w:ascii="Times New Roman" w:hAnsi="Times New Roman" w:cs="Times New Roman"/>
        </w:rPr>
      </w:pPr>
      <w:r w:rsidRPr="001F4999">
        <w:rPr>
          <w:rFonts w:ascii="Times New Roman" w:hAnsi="Times New Roman" w:cs="Times New Roman"/>
        </w:rPr>
        <w:t xml:space="preserve">As </w:t>
      </w:r>
      <w:r w:rsidR="00F2730A" w:rsidRPr="001F4999">
        <w:rPr>
          <w:rFonts w:ascii="Times New Roman" w:hAnsi="Times New Roman" w:cs="Times New Roman"/>
        </w:rPr>
        <w:t xml:space="preserve">people age, blood levels of the cardioprotective fatty acid, linoleate (18:2n6) decreases. The decrease of blood levels of linoleic status parallels the loss of skeletal and cardiac muscle function and lean mass </w:t>
      </w:r>
      <w:r w:rsidR="00737CE3" w:rsidRPr="001F4999">
        <w:rPr>
          <w:rFonts w:ascii="Times New Roman" w:hAnsi="Times New Roman" w:cs="Times New Roman"/>
          <w:vertAlign w:val="superscript"/>
        </w:rPr>
        <w:t>30</w:t>
      </w:r>
      <w:r w:rsidR="00F2730A" w:rsidRPr="001F4999">
        <w:rPr>
          <w:rFonts w:ascii="Times New Roman" w:hAnsi="Times New Roman" w:cs="Times New Roman"/>
        </w:rPr>
        <w:t>.  In addition, diminished linoleate status in older individuals coincides with diminished mitochondrial function in skeletal muscle that accompanies aging</w:t>
      </w:r>
      <w:r w:rsidRPr="001F4999">
        <w:rPr>
          <w:rFonts w:ascii="Times New Roman" w:hAnsi="Times New Roman" w:cs="Times New Roman"/>
        </w:rPr>
        <w:t xml:space="preserve"> </w:t>
      </w:r>
      <w:r w:rsidR="00737CE3" w:rsidRPr="001F4999">
        <w:rPr>
          <w:rFonts w:ascii="Times New Roman" w:hAnsi="Times New Roman" w:cs="Times New Roman"/>
          <w:vertAlign w:val="superscript"/>
        </w:rPr>
        <w:t>12, 50</w:t>
      </w:r>
      <w:r w:rsidR="00F2730A" w:rsidRPr="001F4999">
        <w:rPr>
          <w:rFonts w:ascii="Times New Roman" w:hAnsi="Times New Roman" w:cs="Times New Roman"/>
        </w:rPr>
        <w:t xml:space="preserve">.  </w:t>
      </w:r>
      <w:r w:rsidR="00CD7FD4" w:rsidRPr="001F4999">
        <w:rPr>
          <w:rFonts w:ascii="Times New Roman" w:hAnsi="Times New Roman" w:cs="Times New Roman"/>
        </w:rPr>
        <w:t>Physical activity</w:t>
      </w:r>
      <w:r w:rsidR="00F2730A" w:rsidRPr="001F4999">
        <w:rPr>
          <w:rFonts w:ascii="Times New Roman" w:hAnsi="Times New Roman" w:cs="Times New Roman"/>
        </w:rPr>
        <w:t xml:space="preserve"> and a balanced diet may prevent muscle atrophy </w:t>
      </w:r>
      <w:r w:rsidR="004C77A7" w:rsidRPr="001F4999">
        <w:rPr>
          <w:rFonts w:ascii="Times New Roman" w:hAnsi="Times New Roman" w:cs="Times New Roman"/>
        </w:rPr>
        <w:t>by targeting mitochondria</w:t>
      </w:r>
      <w:r w:rsidRPr="001F4999">
        <w:rPr>
          <w:rFonts w:ascii="Times New Roman" w:hAnsi="Times New Roman" w:cs="Times New Roman"/>
        </w:rPr>
        <w:t xml:space="preserve"> </w:t>
      </w:r>
      <w:r w:rsidR="00737CE3" w:rsidRPr="001F4999">
        <w:rPr>
          <w:rFonts w:ascii="Times New Roman" w:hAnsi="Times New Roman" w:cs="Times New Roman"/>
          <w:vertAlign w:val="superscript"/>
        </w:rPr>
        <w:t>44</w:t>
      </w:r>
      <w:r w:rsidR="00F2730A" w:rsidRPr="001F4999">
        <w:rPr>
          <w:rFonts w:ascii="Times New Roman" w:hAnsi="Times New Roman" w:cs="Times New Roman"/>
        </w:rPr>
        <w:t xml:space="preserve">.     </w:t>
      </w:r>
    </w:p>
    <w:p w14:paraId="5FC87451" w14:textId="34B2AC7B" w:rsidR="00F2730A" w:rsidRPr="001F4999" w:rsidRDefault="00F2730A" w:rsidP="002C38B5">
      <w:pPr>
        <w:tabs>
          <w:tab w:val="left" w:pos="-90"/>
        </w:tabs>
        <w:spacing w:after="0" w:line="240" w:lineRule="auto"/>
        <w:ind w:left="-180"/>
        <w:rPr>
          <w:rFonts w:ascii="Times New Roman" w:hAnsi="Times New Roman" w:cs="Times New Roman"/>
        </w:rPr>
      </w:pPr>
      <w:r w:rsidRPr="001F4999">
        <w:rPr>
          <w:rFonts w:ascii="Times New Roman" w:hAnsi="Times New Roman" w:cs="Times New Roman"/>
        </w:rPr>
        <w:tab/>
      </w:r>
      <w:r w:rsidRPr="001F4999">
        <w:rPr>
          <w:rFonts w:ascii="Times New Roman" w:hAnsi="Times New Roman" w:cs="Times New Roman"/>
        </w:rPr>
        <w:tab/>
      </w:r>
      <w:r w:rsidRPr="001F4999">
        <w:rPr>
          <w:rFonts w:ascii="Times New Roman" w:hAnsi="Times New Roman" w:cs="Times New Roman"/>
        </w:rPr>
        <w:tab/>
        <w:t xml:space="preserve">A dietary intake frequency assessment conducted by the </w:t>
      </w:r>
      <w:r w:rsidR="002C38B5" w:rsidRPr="001F4999">
        <w:rPr>
          <w:rFonts w:ascii="Times New Roman" w:hAnsi="Times New Roman" w:cs="Times New Roman"/>
        </w:rPr>
        <w:t>NE</w:t>
      </w:r>
      <w:r w:rsidR="00D30E5D" w:rsidRPr="001F4999">
        <w:rPr>
          <w:rFonts w:ascii="Times New Roman" w:hAnsi="Times New Roman" w:cs="Times New Roman"/>
        </w:rPr>
        <w:t>-</w:t>
      </w:r>
      <w:r w:rsidR="002C38B5" w:rsidRPr="001F4999">
        <w:rPr>
          <w:rFonts w:ascii="Times New Roman" w:hAnsi="Times New Roman" w:cs="Times New Roman"/>
        </w:rPr>
        <w:t>1439</w:t>
      </w:r>
      <w:r w:rsidRPr="001F4999">
        <w:rPr>
          <w:rFonts w:ascii="Times New Roman" w:hAnsi="Times New Roman" w:cs="Times New Roman"/>
        </w:rPr>
        <w:t xml:space="preserve"> multistate team revealed the majority of community residing older adults surveyed were consuming low intake frequencies of protein-rich foods, produce and whole grains </w:t>
      </w:r>
      <w:r w:rsidR="00737CE3" w:rsidRPr="001F4999">
        <w:rPr>
          <w:rFonts w:ascii="Times New Roman" w:hAnsi="Times New Roman" w:cs="Times New Roman"/>
          <w:vertAlign w:val="superscript"/>
        </w:rPr>
        <w:t>39</w:t>
      </w:r>
      <w:r w:rsidRPr="001F4999">
        <w:rPr>
          <w:rFonts w:ascii="Times New Roman" w:hAnsi="Times New Roman" w:cs="Times New Roman"/>
        </w:rPr>
        <w:t xml:space="preserve">. In addition to examining whole food consumption among aging adults, the </w:t>
      </w:r>
      <w:r w:rsidR="002C38B5" w:rsidRPr="001F4999">
        <w:rPr>
          <w:rFonts w:ascii="Times New Roman" w:hAnsi="Times New Roman" w:cs="Times New Roman"/>
        </w:rPr>
        <w:t>NE</w:t>
      </w:r>
      <w:r w:rsidR="00D30E5D" w:rsidRPr="001F4999">
        <w:rPr>
          <w:rFonts w:ascii="Times New Roman" w:hAnsi="Times New Roman" w:cs="Times New Roman"/>
        </w:rPr>
        <w:t>-</w:t>
      </w:r>
      <w:r w:rsidR="002C38B5" w:rsidRPr="001F4999">
        <w:rPr>
          <w:rFonts w:ascii="Times New Roman" w:hAnsi="Times New Roman" w:cs="Times New Roman"/>
        </w:rPr>
        <w:t>1439</w:t>
      </w:r>
      <w:r w:rsidRPr="001F4999">
        <w:rPr>
          <w:rFonts w:ascii="Times New Roman" w:hAnsi="Times New Roman" w:cs="Times New Roman"/>
        </w:rPr>
        <w:t xml:space="preserve"> team is exploring specific nutrients including selenium and fatty acids. </w:t>
      </w:r>
    </w:p>
    <w:p w14:paraId="17A71CFA" w14:textId="54D9C102" w:rsidR="002D640B"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u w:val="single"/>
        </w:rPr>
        <w:t>Physical Activity</w:t>
      </w:r>
      <w:r w:rsidRPr="001F4999">
        <w:rPr>
          <w:rFonts w:ascii="Times New Roman" w:hAnsi="Times New Roman" w:cs="Times New Roman"/>
        </w:rPr>
        <w:t xml:space="preserve">. Physical activity is a key modifiable behavior that can attenuate chronic disease risk and improve physical functioning in older adults </w:t>
      </w:r>
      <w:r w:rsidR="00737CE3" w:rsidRPr="001F4999">
        <w:rPr>
          <w:rFonts w:ascii="Times New Roman" w:hAnsi="Times New Roman" w:cs="Times New Roman"/>
          <w:vertAlign w:val="superscript"/>
        </w:rPr>
        <w:t>49</w:t>
      </w:r>
      <w:r w:rsidRPr="001F4999">
        <w:rPr>
          <w:rFonts w:ascii="Times New Roman" w:hAnsi="Times New Roman" w:cs="Times New Roman"/>
        </w:rPr>
        <w:t xml:space="preserve">. </w:t>
      </w:r>
      <w:r w:rsidR="00B321D6" w:rsidRPr="001F4999">
        <w:rPr>
          <w:rFonts w:ascii="Times New Roman" w:hAnsi="Times New Roman" w:cs="Times New Roman"/>
        </w:rPr>
        <w:t xml:space="preserve">It also builds “physical reserves” so that if </w:t>
      </w:r>
      <w:r w:rsidR="0082337D" w:rsidRPr="001F4999">
        <w:rPr>
          <w:rFonts w:ascii="Times New Roman" w:hAnsi="Times New Roman" w:cs="Times New Roman"/>
        </w:rPr>
        <w:t xml:space="preserve">physical </w:t>
      </w:r>
      <w:r w:rsidR="00B321D6" w:rsidRPr="001F4999">
        <w:rPr>
          <w:rFonts w:ascii="Times New Roman" w:hAnsi="Times New Roman" w:cs="Times New Roman"/>
        </w:rPr>
        <w:t>function</w:t>
      </w:r>
      <w:r w:rsidR="0082337D" w:rsidRPr="001F4999">
        <w:rPr>
          <w:rFonts w:ascii="Times New Roman" w:hAnsi="Times New Roman" w:cs="Times New Roman"/>
        </w:rPr>
        <w:t xml:space="preserve"> </w:t>
      </w:r>
      <w:r w:rsidR="00B321D6" w:rsidRPr="001F4999">
        <w:rPr>
          <w:rFonts w:ascii="Times New Roman" w:hAnsi="Times New Roman" w:cs="Times New Roman"/>
        </w:rPr>
        <w:t xml:space="preserve">declines resulting from illness or injury occur, individuals with greater </w:t>
      </w:r>
      <w:r w:rsidRPr="001F4999">
        <w:rPr>
          <w:rFonts w:ascii="Times New Roman" w:hAnsi="Times New Roman" w:cs="Times New Roman"/>
        </w:rPr>
        <w:t>physical reserves would be less likely to fall below the threshold for disability</w:t>
      </w:r>
      <w:r w:rsidR="00B321D6" w:rsidRPr="001F4999">
        <w:rPr>
          <w:rFonts w:ascii="Times New Roman" w:hAnsi="Times New Roman" w:cs="Times New Roman"/>
        </w:rPr>
        <w:t xml:space="preserve"> </w:t>
      </w:r>
      <w:r w:rsidR="00737CE3" w:rsidRPr="001F4999">
        <w:rPr>
          <w:rFonts w:ascii="Times New Roman" w:hAnsi="Times New Roman" w:cs="Times New Roman"/>
          <w:vertAlign w:val="superscript"/>
        </w:rPr>
        <w:t>55</w:t>
      </w:r>
      <w:r w:rsidRPr="001F4999">
        <w:rPr>
          <w:rFonts w:ascii="Times New Roman" w:hAnsi="Times New Roman" w:cs="Times New Roman"/>
        </w:rPr>
        <w:t>. Thus, physical activity is a key component of healthy aging. Unfortunately,</w:t>
      </w:r>
      <w:r w:rsidRPr="001F4999" w:rsidDel="00C058F2">
        <w:rPr>
          <w:rFonts w:ascii="Times New Roman" w:hAnsi="Times New Roman" w:cs="Times New Roman"/>
        </w:rPr>
        <w:t xml:space="preserve"> </w:t>
      </w:r>
      <w:r w:rsidRPr="001F4999">
        <w:rPr>
          <w:rFonts w:ascii="Times New Roman" w:hAnsi="Times New Roman" w:cs="Times New Roman"/>
        </w:rPr>
        <w:t xml:space="preserve">the vast majority of older adults are not engaging in the recommended levels of physical activity </w:t>
      </w:r>
      <w:r w:rsidR="00737CE3" w:rsidRPr="001F4999">
        <w:rPr>
          <w:rFonts w:ascii="Times New Roman" w:hAnsi="Times New Roman" w:cs="Times New Roman"/>
          <w:vertAlign w:val="superscript"/>
        </w:rPr>
        <w:t>49</w:t>
      </w:r>
      <w:r w:rsidRPr="001F4999">
        <w:rPr>
          <w:rFonts w:ascii="Times New Roman" w:hAnsi="Times New Roman" w:cs="Times New Roman"/>
        </w:rPr>
        <w:t xml:space="preserve">.  </w:t>
      </w:r>
    </w:p>
    <w:p w14:paraId="010F5A32" w14:textId="3EBC5E0D" w:rsidR="002D640B"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u w:val="single"/>
        </w:rPr>
        <w:t>Sarcopenia</w:t>
      </w:r>
      <w:r w:rsidRPr="001F4999">
        <w:rPr>
          <w:rFonts w:ascii="Times New Roman" w:hAnsi="Times New Roman" w:cs="Times New Roman"/>
        </w:rPr>
        <w:t xml:space="preserve">. </w:t>
      </w:r>
      <w:r w:rsidRPr="001F4999">
        <w:rPr>
          <w:rFonts w:ascii="Times New Roman" w:hAnsi="Times New Roman" w:cs="Times New Roman"/>
          <w:color w:val="000000"/>
        </w:rPr>
        <w:t xml:space="preserve">Adults can experience a 3 to 8% decline in muscle mass per decade beginning in the </w:t>
      </w:r>
      <w:r w:rsidR="00107EC8" w:rsidRPr="001F4999">
        <w:rPr>
          <w:rFonts w:ascii="Times New Roman" w:hAnsi="Times New Roman" w:cs="Times New Roman"/>
          <w:color w:val="000000"/>
        </w:rPr>
        <w:t xml:space="preserve">their </w:t>
      </w:r>
      <w:r w:rsidRPr="001F4999">
        <w:rPr>
          <w:rFonts w:ascii="Times New Roman" w:hAnsi="Times New Roman" w:cs="Times New Roman"/>
          <w:color w:val="000000"/>
        </w:rPr>
        <w:t xml:space="preserve">40s and 50s </w:t>
      </w:r>
      <w:r w:rsidR="00737CE3" w:rsidRPr="001F4999">
        <w:rPr>
          <w:rFonts w:ascii="Times New Roman" w:hAnsi="Times New Roman" w:cs="Times New Roman"/>
          <w:vertAlign w:val="superscript"/>
        </w:rPr>
        <w:t>47</w:t>
      </w:r>
      <w:r w:rsidRPr="001F4999">
        <w:rPr>
          <w:rFonts w:ascii="Times New Roman" w:hAnsi="Times New Roman" w:cs="Times New Roman"/>
          <w:color w:val="000000"/>
        </w:rPr>
        <w:t xml:space="preserve">; </w:t>
      </w:r>
      <w:r w:rsidR="00B321D6" w:rsidRPr="001F4999">
        <w:rPr>
          <w:rFonts w:ascii="Times New Roman" w:hAnsi="Times New Roman" w:cs="Times New Roman"/>
          <w:color w:val="000000"/>
        </w:rPr>
        <w:t xml:space="preserve">and </w:t>
      </w:r>
      <w:r w:rsidRPr="001F4999">
        <w:rPr>
          <w:rFonts w:ascii="Times New Roman" w:hAnsi="Times New Roman" w:cs="Times New Roman"/>
          <w:color w:val="000000"/>
        </w:rPr>
        <w:t xml:space="preserve">muscle mass </w:t>
      </w:r>
      <w:r w:rsidR="00B321D6" w:rsidRPr="001F4999">
        <w:rPr>
          <w:rFonts w:ascii="Times New Roman" w:hAnsi="Times New Roman" w:cs="Times New Roman"/>
          <w:color w:val="000000"/>
        </w:rPr>
        <w:t xml:space="preserve">traditionally </w:t>
      </w:r>
      <w:r w:rsidRPr="001F4999">
        <w:rPr>
          <w:rFonts w:ascii="Times New Roman" w:hAnsi="Times New Roman" w:cs="Times New Roman"/>
          <w:color w:val="000000"/>
        </w:rPr>
        <w:t>declin</w:t>
      </w:r>
      <w:r w:rsidR="00107EC8" w:rsidRPr="001F4999">
        <w:rPr>
          <w:rFonts w:ascii="Times New Roman" w:hAnsi="Times New Roman" w:cs="Times New Roman"/>
          <w:color w:val="000000"/>
        </w:rPr>
        <w:t>es</w:t>
      </w:r>
      <w:r w:rsidRPr="001F4999">
        <w:rPr>
          <w:rFonts w:ascii="Times New Roman" w:hAnsi="Times New Roman" w:cs="Times New Roman"/>
          <w:color w:val="000000"/>
        </w:rPr>
        <w:t xml:space="preserve"> 30% to 50% between the ages of 40 and 80 years </w:t>
      </w:r>
      <w:r w:rsidR="00737CE3" w:rsidRPr="001F4999">
        <w:rPr>
          <w:rFonts w:ascii="Times New Roman" w:hAnsi="Times New Roman" w:cs="Times New Roman"/>
          <w:vertAlign w:val="superscript"/>
        </w:rPr>
        <w:t>14</w:t>
      </w:r>
      <w:r w:rsidRPr="001F4999">
        <w:rPr>
          <w:rFonts w:ascii="Times New Roman" w:hAnsi="Times New Roman" w:cs="Times New Roman"/>
          <w:color w:val="000000"/>
        </w:rPr>
        <w:t xml:space="preserve">. For this project, we use the Foundation for the National Institutes of Health Sarcopenia Project (FNIH-SP) definition that uses lean mass </w:t>
      </w:r>
      <w:r w:rsidRPr="001F4999">
        <w:rPr>
          <w:rFonts w:ascii="Times New Roman" w:hAnsi="Times New Roman" w:cs="Times New Roman"/>
        </w:rPr>
        <w:t>(absolute or relative to body mass)</w:t>
      </w:r>
      <w:r w:rsidRPr="001F4999">
        <w:rPr>
          <w:rFonts w:ascii="Times New Roman" w:hAnsi="Times New Roman" w:cs="Times New Roman"/>
          <w:color w:val="000000"/>
        </w:rPr>
        <w:t xml:space="preserve"> and </w:t>
      </w:r>
      <w:r w:rsidR="0082337D" w:rsidRPr="001F4999">
        <w:rPr>
          <w:rFonts w:ascii="Times New Roman" w:hAnsi="Times New Roman" w:cs="Times New Roman"/>
          <w:color w:val="000000"/>
        </w:rPr>
        <w:t xml:space="preserve">physical </w:t>
      </w:r>
      <w:r w:rsidRPr="001F4999">
        <w:rPr>
          <w:rFonts w:ascii="Times New Roman" w:hAnsi="Times New Roman" w:cs="Times New Roman"/>
          <w:color w:val="000000"/>
        </w:rPr>
        <w:t xml:space="preserve">function cut points to </w:t>
      </w:r>
      <w:r w:rsidR="00497223" w:rsidRPr="001F4999">
        <w:rPr>
          <w:rFonts w:ascii="Times New Roman" w:hAnsi="Times New Roman" w:cs="Times New Roman"/>
          <w:color w:val="000000"/>
        </w:rPr>
        <w:t>define</w:t>
      </w:r>
      <w:r w:rsidRPr="001F4999">
        <w:rPr>
          <w:rFonts w:ascii="Times New Roman" w:hAnsi="Times New Roman" w:cs="Times New Roman"/>
          <w:color w:val="000000"/>
        </w:rPr>
        <w:t xml:space="preserve"> sarcopeni</w:t>
      </w:r>
      <w:r w:rsidR="00497223" w:rsidRPr="001F4999">
        <w:rPr>
          <w:rFonts w:ascii="Times New Roman" w:hAnsi="Times New Roman" w:cs="Times New Roman"/>
          <w:color w:val="000000"/>
        </w:rPr>
        <w:t>a</w:t>
      </w:r>
      <w:r w:rsidR="00E81706" w:rsidRPr="001F4999">
        <w:rPr>
          <w:rFonts w:ascii="Times New Roman" w:hAnsi="Times New Roman" w:cs="Times New Roman"/>
          <w:color w:val="000000"/>
        </w:rPr>
        <w:t xml:space="preserve"> </w:t>
      </w:r>
      <w:r w:rsidR="00737CE3" w:rsidRPr="001F4999">
        <w:rPr>
          <w:rFonts w:ascii="Times New Roman" w:hAnsi="Times New Roman" w:cs="Times New Roman"/>
          <w:vertAlign w:val="superscript"/>
        </w:rPr>
        <w:t>57</w:t>
      </w:r>
      <w:r w:rsidRPr="001F4999">
        <w:rPr>
          <w:rFonts w:ascii="Times New Roman" w:hAnsi="Times New Roman" w:cs="Times New Roman"/>
          <w:color w:val="000000"/>
        </w:rPr>
        <w:t xml:space="preserve">. </w:t>
      </w:r>
      <w:r w:rsidRPr="001F4999">
        <w:rPr>
          <w:rFonts w:ascii="Times New Roman" w:hAnsi="Times New Roman" w:cs="Times New Roman"/>
        </w:rPr>
        <w:t xml:space="preserve">The cut points have been shown to be independent predictors of incident mobility impairment in men and women </w:t>
      </w:r>
      <w:r w:rsidR="00737CE3" w:rsidRPr="001F4999">
        <w:rPr>
          <w:rFonts w:ascii="Times New Roman" w:hAnsi="Times New Roman" w:cs="Times New Roman"/>
          <w:vertAlign w:val="superscript"/>
        </w:rPr>
        <w:t>43</w:t>
      </w:r>
      <w:r w:rsidRPr="001F4999">
        <w:rPr>
          <w:rFonts w:ascii="Times New Roman" w:hAnsi="Times New Roman" w:cs="Times New Roman"/>
        </w:rPr>
        <w:t>.</w:t>
      </w:r>
      <w:r w:rsidRPr="001F4999">
        <w:rPr>
          <w:rFonts w:ascii="Times New Roman" w:hAnsi="Times New Roman" w:cs="Times New Roman"/>
          <w:color w:val="000000"/>
        </w:rPr>
        <w:t xml:space="preserve"> </w:t>
      </w:r>
      <w:r w:rsidRPr="001F4999">
        <w:rPr>
          <w:rFonts w:ascii="Times New Roman" w:hAnsi="Times New Roman" w:cs="Times New Roman"/>
        </w:rPr>
        <w:t xml:space="preserve">Sarcopenia-related health care costs are substantial, with estimates ranging from $11.8 to $26.2 billion </w:t>
      </w:r>
      <w:r w:rsidR="00737CE3" w:rsidRPr="001F4999">
        <w:rPr>
          <w:rFonts w:ascii="Times New Roman" w:hAnsi="Times New Roman" w:cs="Times New Roman"/>
          <w:vertAlign w:val="superscript"/>
        </w:rPr>
        <w:t>32</w:t>
      </w:r>
      <w:r w:rsidRPr="001F4999">
        <w:rPr>
          <w:rFonts w:ascii="Times New Roman" w:hAnsi="Times New Roman" w:cs="Times New Roman"/>
        </w:rPr>
        <w:t xml:space="preserve">. A 10% reduction in sarcopenia prevalence could save upward of $1.1 billion annually in the US </w:t>
      </w:r>
      <w:r w:rsidR="00737CE3" w:rsidRPr="001F4999">
        <w:rPr>
          <w:rFonts w:ascii="Times New Roman" w:hAnsi="Times New Roman" w:cs="Times New Roman"/>
          <w:vertAlign w:val="superscript"/>
        </w:rPr>
        <w:t>32</w:t>
      </w:r>
      <w:r w:rsidRPr="001F4999">
        <w:rPr>
          <w:rFonts w:ascii="Times New Roman" w:hAnsi="Times New Roman" w:cs="Times New Roman"/>
        </w:rPr>
        <w:t xml:space="preserve">. Nearly half (46.6%) of these savings would occur if 10% of those with severe sarcopenia were able to improve to a moderate level of sarcopenia while the remaining 56.4% would occur if 10% of those classified with “moderate sarcopenia” moved to “normal” </w:t>
      </w:r>
      <w:r w:rsidR="00737CE3" w:rsidRPr="001F4999">
        <w:rPr>
          <w:rFonts w:ascii="Times New Roman" w:hAnsi="Times New Roman" w:cs="Times New Roman"/>
          <w:vertAlign w:val="superscript"/>
        </w:rPr>
        <w:t>32</w:t>
      </w:r>
      <w:r w:rsidRPr="001F4999">
        <w:rPr>
          <w:rFonts w:ascii="Times New Roman" w:hAnsi="Times New Roman" w:cs="Times New Roman"/>
        </w:rPr>
        <w:t xml:space="preserve">. If sarcopenia were to be eradicated, about 26% of disability cases would be eliminated </w:t>
      </w:r>
      <w:r w:rsidR="00737CE3" w:rsidRPr="001F4999">
        <w:rPr>
          <w:rFonts w:ascii="Times New Roman" w:hAnsi="Times New Roman" w:cs="Times New Roman"/>
          <w:vertAlign w:val="superscript"/>
        </w:rPr>
        <w:t>32</w:t>
      </w:r>
      <w:r w:rsidRPr="001F4999">
        <w:rPr>
          <w:rFonts w:ascii="Times New Roman" w:hAnsi="Times New Roman" w:cs="Times New Roman"/>
        </w:rPr>
        <w:t xml:space="preserve">.  </w:t>
      </w:r>
    </w:p>
    <w:p w14:paraId="4503EC8E" w14:textId="66819701" w:rsidR="002D640B"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rPr>
        <w:t xml:space="preserve">Lifestyle practices of older adults, in particular obesity, physical inactivity and poor nutritional intake, increase sarcopenia risk </w:t>
      </w:r>
      <w:r w:rsidR="00737CE3" w:rsidRPr="001F4999">
        <w:rPr>
          <w:rFonts w:ascii="Times New Roman" w:hAnsi="Times New Roman" w:cs="Times New Roman"/>
          <w:vertAlign w:val="superscript"/>
        </w:rPr>
        <w:t>22</w:t>
      </w:r>
      <w:r w:rsidRPr="001F4999">
        <w:rPr>
          <w:rFonts w:ascii="Times New Roman" w:hAnsi="Times New Roman" w:cs="Times New Roman"/>
          <w:color w:val="000000"/>
        </w:rPr>
        <w:t xml:space="preserve">. This provides a unique challenge when designing community-based </w:t>
      </w:r>
      <w:r w:rsidR="00CD7FD4" w:rsidRPr="001F4999">
        <w:rPr>
          <w:rFonts w:ascii="Times New Roman" w:hAnsi="Times New Roman" w:cs="Times New Roman"/>
          <w:color w:val="000000"/>
        </w:rPr>
        <w:t>physical activity</w:t>
      </w:r>
      <w:r w:rsidRPr="001F4999">
        <w:rPr>
          <w:rFonts w:ascii="Times New Roman" w:hAnsi="Times New Roman" w:cs="Times New Roman"/>
          <w:color w:val="000000"/>
        </w:rPr>
        <w:t xml:space="preserve"> and nutrition programs. </w:t>
      </w:r>
      <w:r w:rsidRPr="001F4999">
        <w:rPr>
          <w:rFonts w:ascii="Times New Roman" w:eastAsia="Times New Roman" w:hAnsi="Times New Roman" w:cs="Times New Roman"/>
          <w:bCs/>
          <w:color w:val="000000"/>
        </w:rPr>
        <w:t xml:space="preserve">An effective sarcopenia prevention/treatment program must increase physical activity and promote healthy eating while preventing an energy-deficit that promotes weight loss, which can adversely affect sarcopenia </w:t>
      </w:r>
      <w:r w:rsidR="00737CE3" w:rsidRPr="001F4999">
        <w:rPr>
          <w:rFonts w:ascii="Times New Roman" w:hAnsi="Times New Roman" w:cs="Times New Roman"/>
          <w:vertAlign w:val="superscript"/>
        </w:rPr>
        <w:t>22</w:t>
      </w:r>
      <w:r w:rsidRPr="001F4999">
        <w:rPr>
          <w:rFonts w:ascii="Times New Roman" w:hAnsi="Times New Roman" w:cs="Times New Roman"/>
          <w:color w:val="000000"/>
        </w:rPr>
        <w:t xml:space="preserve">. </w:t>
      </w:r>
      <w:r w:rsidRPr="001F4999">
        <w:rPr>
          <w:rFonts w:ascii="Times New Roman" w:hAnsi="Times New Roman" w:cs="Times New Roman"/>
        </w:rPr>
        <w:t>Establishing successful interventions that preserve and/or improve lean mass and</w:t>
      </w:r>
      <w:r w:rsidR="0082337D" w:rsidRPr="001F4999">
        <w:rPr>
          <w:rFonts w:ascii="Times New Roman" w:hAnsi="Times New Roman" w:cs="Times New Roman"/>
        </w:rPr>
        <w:t xml:space="preserve"> physical</w:t>
      </w:r>
      <w:r w:rsidRPr="001F4999">
        <w:rPr>
          <w:rFonts w:ascii="Times New Roman" w:hAnsi="Times New Roman" w:cs="Times New Roman"/>
        </w:rPr>
        <w:t xml:space="preserve"> function is crucial. There has been a significant effort to determine </w:t>
      </w:r>
      <w:r w:rsidRPr="001F4999">
        <w:rPr>
          <w:rFonts w:ascii="Times New Roman" w:hAnsi="Times New Roman" w:cs="Times New Roman"/>
        </w:rPr>
        <w:lastRenderedPageBreak/>
        <w:t xml:space="preserve">the most effective and efficacious interventions for treating sarcopenia and its associated symptoms </w:t>
      </w:r>
      <w:r w:rsidR="00737CE3" w:rsidRPr="001F4999">
        <w:rPr>
          <w:rFonts w:ascii="Times New Roman" w:hAnsi="Times New Roman" w:cs="Times New Roman"/>
          <w:vertAlign w:val="superscript"/>
        </w:rPr>
        <w:t>10</w:t>
      </w:r>
      <w:r w:rsidRPr="001F4999">
        <w:rPr>
          <w:rFonts w:ascii="Times New Roman" w:hAnsi="Times New Roman" w:cs="Times New Roman"/>
        </w:rPr>
        <w:t>; however, many efforts are not easily transferable to the community setting. A st</w:t>
      </w:r>
      <w:r w:rsidR="00E81706" w:rsidRPr="001F4999">
        <w:rPr>
          <w:rFonts w:ascii="Times New Roman" w:hAnsi="Times New Roman" w:cs="Times New Roman"/>
        </w:rPr>
        <w:t>udy conducted as part of the NE</w:t>
      </w:r>
      <w:r w:rsidR="00D30E5D" w:rsidRPr="001F4999">
        <w:rPr>
          <w:rFonts w:ascii="Times New Roman" w:hAnsi="Times New Roman" w:cs="Times New Roman"/>
        </w:rPr>
        <w:t>-</w:t>
      </w:r>
      <w:r w:rsidRPr="001F4999">
        <w:rPr>
          <w:rFonts w:ascii="Times New Roman" w:hAnsi="Times New Roman" w:cs="Times New Roman"/>
        </w:rPr>
        <w:t>1439 project demonstrated that a 12-week periodized resistance training intervention strategy was effective in retaining appendicular lean muscle mass and improving muscle strength</w:t>
      </w:r>
      <w:r w:rsidR="00F97367" w:rsidRPr="001F4999">
        <w:rPr>
          <w:rFonts w:ascii="Times New Roman" w:hAnsi="Times New Roman" w:cs="Times New Roman"/>
        </w:rPr>
        <w:t xml:space="preserve"> in women ages 65-84 years </w:t>
      </w:r>
      <w:r w:rsidR="00737CE3" w:rsidRPr="001F4999">
        <w:rPr>
          <w:rFonts w:ascii="Times New Roman" w:hAnsi="Times New Roman" w:cs="Times New Roman"/>
          <w:vertAlign w:val="superscript"/>
        </w:rPr>
        <w:t>53</w:t>
      </w:r>
      <w:r w:rsidRPr="001F4999">
        <w:rPr>
          <w:rFonts w:ascii="Times New Roman" w:hAnsi="Times New Roman" w:cs="Times New Roman"/>
        </w:rPr>
        <w:t xml:space="preserve">. The renewal project will </w:t>
      </w:r>
      <w:r w:rsidR="00F97367" w:rsidRPr="001F4999">
        <w:rPr>
          <w:rFonts w:ascii="Times New Roman" w:hAnsi="Times New Roman" w:cs="Times New Roman"/>
        </w:rPr>
        <w:t xml:space="preserve">further </w:t>
      </w:r>
      <w:r w:rsidRPr="001F4999">
        <w:rPr>
          <w:rFonts w:ascii="Times New Roman" w:hAnsi="Times New Roman" w:cs="Times New Roman"/>
        </w:rPr>
        <w:t xml:space="preserve">develop this work into </w:t>
      </w:r>
      <w:r w:rsidR="00F97367" w:rsidRPr="001F4999">
        <w:rPr>
          <w:rFonts w:ascii="Times New Roman" w:hAnsi="Times New Roman" w:cs="Times New Roman"/>
        </w:rPr>
        <w:t>a</w:t>
      </w:r>
      <w:r w:rsidRPr="001F4999">
        <w:rPr>
          <w:rFonts w:ascii="Times New Roman" w:hAnsi="Times New Roman" w:cs="Times New Roman"/>
        </w:rPr>
        <w:t xml:space="preserve"> larger scale, multistate intervention.</w:t>
      </w:r>
    </w:p>
    <w:p w14:paraId="4296ECDD" w14:textId="77777777" w:rsidR="002D640B" w:rsidRPr="001F4999" w:rsidRDefault="002D640B" w:rsidP="002C38B5">
      <w:pPr>
        <w:spacing w:after="0" w:line="240" w:lineRule="auto"/>
        <w:ind w:firstLine="720"/>
        <w:rPr>
          <w:rFonts w:ascii="Times New Roman" w:hAnsi="Times New Roman" w:cs="Times New Roman"/>
          <w:color w:val="000000"/>
        </w:rPr>
      </w:pPr>
    </w:p>
    <w:p w14:paraId="3309A118" w14:textId="77777777" w:rsidR="002D640B" w:rsidRPr="001F4999" w:rsidRDefault="002D640B" w:rsidP="002C38B5">
      <w:pPr>
        <w:spacing w:after="0" w:line="240" w:lineRule="auto"/>
        <w:rPr>
          <w:rFonts w:ascii="Times New Roman" w:hAnsi="Times New Roman" w:cs="Times New Roman"/>
          <w:b/>
        </w:rPr>
      </w:pPr>
      <w:r w:rsidRPr="001F4999">
        <w:rPr>
          <w:rFonts w:ascii="Times New Roman" w:hAnsi="Times New Roman" w:cs="Times New Roman"/>
          <w:b/>
        </w:rPr>
        <w:t>Importance of Work</w:t>
      </w:r>
    </w:p>
    <w:p w14:paraId="1375E226" w14:textId="00FFC52D" w:rsidR="002D640B" w:rsidRPr="001F4999" w:rsidRDefault="002D640B" w:rsidP="00E81706">
      <w:pPr>
        <w:tabs>
          <w:tab w:val="left" w:pos="7290"/>
        </w:tabs>
        <w:spacing w:after="0" w:line="240" w:lineRule="auto"/>
        <w:ind w:firstLine="720"/>
        <w:rPr>
          <w:rFonts w:ascii="Times New Roman" w:hAnsi="Times New Roman" w:cs="Times New Roman"/>
          <w:color w:val="000000"/>
        </w:rPr>
      </w:pPr>
      <w:r w:rsidRPr="001F4999">
        <w:rPr>
          <w:rFonts w:ascii="Times New Roman" w:hAnsi="Times New Roman" w:cs="Times New Roman"/>
        </w:rPr>
        <w:t>A project renewal will provide the opportunity to expand on the work completed thus far by the members of the USDA NE-1439 Multistate Project “</w:t>
      </w:r>
      <w:r w:rsidRPr="001F4999">
        <w:rPr>
          <w:rFonts w:ascii="Times New Roman" w:hAnsi="Times New Roman" w:cs="Times New Roman"/>
          <w:lang w:val="en"/>
        </w:rPr>
        <w:t xml:space="preserve">Changing the Health Trajectory for Older Adults through Effective Diet and Activity Modifications” from 2014 to the present. </w:t>
      </w:r>
      <w:r w:rsidRPr="001F4999">
        <w:rPr>
          <w:rFonts w:ascii="Times New Roman" w:hAnsi="Times New Roman" w:cs="Times New Roman"/>
          <w:color w:val="000000"/>
        </w:rPr>
        <w:t xml:space="preserve">Through our collaborative efforts, we </w:t>
      </w:r>
      <w:r w:rsidR="00B321D6" w:rsidRPr="001F4999">
        <w:rPr>
          <w:rFonts w:ascii="Times New Roman" w:hAnsi="Times New Roman" w:cs="Times New Roman"/>
          <w:color w:val="000000"/>
        </w:rPr>
        <w:t>identified</w:t>
      </w:r>
      <w:r w:rsidRPr="001F4999">
        <w:rPr>
          <w:rFonts w:ascii="Times New Roman" w:hAnsi="Times New Roman" w:cs="Times New Roman"/>
          <w:color w:val="000000"/>
        </w:rPr>
        <w:t xml:space="preserve"> community supports for produce consumption among older adults </w:t>
      </w:r>
      <w:r w:rsidR="00737CE3" w:rsidRPr="001F4999">
        <w:rPr>
          <w:rFonts w:ascii="Times New Roman" w:hAnsi="Times New Roman" w:cs="Times New Roman"/>
          <w:color w:val="000000"/>
          <w:vertAlign w:val="superscript"/>
        </w:rPr>
        <w:t>33</w:t>
      </w:r>
      <w:r w:rsidRPr="001F4999">
        <w:rPr>
          <w:rFonts w:ascii="Times New Roman" w:hAnsi="Times New Roman" w:cs="Times New Roman"/>
        </w:rPr>
        <w:t xml:space="preserve"> and the </w:t>
      </w:r>
      <w:r w:rsidRPr="001F4999">
        <w:rPr>
          <w:rFonts w:ascii="Times New Roman" w:hAnsi="Times New Roman" w:cs="Times New Roman"/>
          <w:color w:val="000000"/>
        </w:rPr>
        <w:t xml:space="preserve">nutritional deficiencies placing aging adults at increased nutritional and sarcopenia risk </w:t>
      </w:r>
      <w:r w:rsidR="00737CE3" w:rsidRPr="001F4999">
        <w:rPr>
          <w:rFonts w:ascii="Times New Roman" w:hAnsi="Times New Roman" w:cs="Times New Roman"/>
          <w:vertAlign w:val="superscript"/>
        </w:rPr>
        <w:t>39</w:t>
      </w:r>
      <w:r w:rsidRPr="001F4999">
        <w:rPr>
          <w:rFonts w:ascii="Times New Roman" w:hAnsi="Times New Roman" w:cs="Times New Roman"/>
          <w:color w:val="000000"/>
        </w:rPr>
        <w:t xml:space="preserve">. For example, we found that dietary selenium insufficiency induces age-related diabetes-like symptoms in association with accelerated telomere shortening </w:t>
      </w:r>
      <w:r w:rsidR="00737CE3" w:rsidRPr="001F4999">
        <w:rPr>
          <w:rFonts w:ascii="Times New Roman" w:hAnsi="Times New Roman" w:cs="Times New Roman"/>
          <w:color w:val="000000"/>
          <w:vertAlign w:val="superscript"/>
        </w:rPr>
        <w:t>67, 69</w:t>
      </w:r>
      <w:r w:rsidRPr="001F4999">
        <w:rPr>
          <w:rFonts w:ascii="Times New Roman" w:hAnsi="Times New Roman" w:cs="Times New Roman"/>
          <w:color w:val="000000"/>
        </w:rPr>
        <w:t xml:space="preserve">. Other dietary interventions, such as fortifying diets with high quality oils rich in linoleic acid appear to impact skeletal muscle mass </w:t>
      </w:r>
      <w:r w:rsidR="00737CE3" w:rsidRPr="001F4999">
        <w:rPr>
          <w:rFonts w:ascii="Times New Roman" w:hAnsi="Times New Roman" w:cs="Times New Roman"/>
          <w:vertAlign w:val="superscript"/>
        </w:rPr>
        <w:t>46</w:t>
      </w:r>
      <w:r w:rsidRPr="001F4999">
        <w:rPr>
          <w:rFonts w:ascii="Times New Roman" w:hAnsi="Times New Roman" w:cs="Times New Roman"/>
          <w:color w:val="000000"/>
        </w:rPr>
        <w:t xml:space="preserve">.  Additionally, we identified exercise modalities that offer promise in lowering sarcopenia risk and severity </w:t>
      </w:r>
      <w:r w:rsidR="00737CE3" w:rsidRPr="001F4999">
        <w:rPr>
          <w:rFonts w:ascii="Times New Roman" w:hAnsi="Times New Roman" w:cs="Times New Roman"/>
          <w:color w:val="000000"/>
          <w:vertAlign w:val="superscript"/>
        </w:rPr>
        <w:t>53</w:t>
      </w:r>
      <w:r w:rsidRPr="001F4999">
        <w:rPr>
          <w:rFonts w:ascii="Times New Roman" w:hAnsi="Times New Roman" w:cs="Times New Roman"/>
          <w:color w:val="000000"/>
        </w:rPr>
        <w:t xml:space="preserve"> and that nutritional risk is associated with shorter telomeres, a biological marker of aging </w:t>
      </w:r>
      <w:r w:rsidR="00737CE3" w:rsidRPr="001F4999">
        <w:rPr>
          <w:rFonts w:ascii="Times New Roman" w:hAnsi="Times New Roman" w:cs="Times New Roman"/>
          <w:vertAlign w:val="superscript"/>
        </w:rPr>
        <w:t>40</w:t>
      </w:r>
      <w:r w:rsidRPr="001F4999">
        <w:rPr>
          <w:rFonts w:ascii="Times New Roman" w:hAnsi="Times New Roman" w:cs="Times New Roman"/>
          <w:color w:val="000000"/>
        </w:rPr>
        <w:t>. Further work can build on these findings to ascertain if shorten</w:t>
      </w:r>
      <w:r w:rsidR="005B0C45" w:rsidRPr="001F4999">
        <w:rPr>
          <w:rFonts w:ascii="Times New Roman" w:hAnsi="Times New Roman" w:cs="Times New Roman"/>
          <w:color w:val="000000"/>
        </w:rPr>
        <w:t>ed</w:t>
      </w:r>
      <w:r w:rsidRPr="001F4999">
        <w:rPr>
          <w:rFonts w:ascii="Times New Roman" w:hAnsi="Times New Roman" w:cs="Times New Roman"/>
          <w:color w:val="000000"/>
        </w:rPr>
        <w:t xml:space="preserve"> telomeres and the corresponding increase in cellular </w:t>
      </w:r>
      <w:r w:rsidRPr="001F4999">
        <w:rPr>
          <w:rFonts w:ascii="Times New Roman" w:hAnsi="Times New Roman" w:cs="Times New Roman"/>
        </w:rPr>
        <w:t>senescence</w:t>
      </w:r>
      <w:r w:rsidRPr="001F4999">
        <w:rPr>
          <w:rFonts w:ascii="Times New Roman" w:hAnsi="Times New Roman" w:cs="Times New Roman"/>
          <w:color w:val="000000"/>
        </w:rPr>
        <w:t xml:space="preserve"> are contributing factors in sarcopenia. </w:t>
      </w:r>
    </w:p>
    <w:p w14:paraId="2C7189C6" w14:textId="611B7AB4" w:rsidR="002D640B" w:rsidRPr="001F4999" w:rsidRDefault="002D640B" w:rsidP="002C38B5">
      <w:pPr>
        <w:spacing w:after="0" w:line="240" w:lineRule="auto"/>
        <w:ind w:firstLine="720"/>
        <w:rPr>
          <w:rFonts w:ascii="Times New Roman" w:hAnsi="Times New Roman" w:cs="Times New Roman"/>
        </w:rPr>
      </w:pPr>
      <w:r w:rsidRPr="001F4999">
        <w:rPr>
          <w:rFonts w:ascii="Times New Roman" w:hAnsi="Times New Roman" w:cs="Times New Roman"/>
          <w:color w:val="000000"/>
        </w:rPr>
        <w:t xml:space="preserve">Building on these efforts, </w:t>
      </w:r>
      <w:r w:rsidR="001845A5" w:rsidRPr="001F4999">
        <w:rPr>
          <w:rFonts w:ascii="Times New Roman" w:hAnsi="Times New Roman" w:cs="Times New Roman"/>
          <w:color w:val="000000"/>
        </w:rPr>
        <w:t xml:space="preserve">the </w:t>
      </w:r>
      <w:r w:rsidRPr="001F4999">
        <w:rPr>
          <w:rFonts w:ascii="Times New Roman" w:hAnsi="Times New Roman" w:cs="Times New Roman"/>
          <w:lang w:val="en"/>
        </w:rPr>
        <w:t>renewal project will focus on</w:t>
      </w:r>
      <w:r w:rsidRPr="001F4999">
        <w:rPr>
          <w:rFonts w:ascii="Times New Roman" w:hAnsi="Times New Roman" w:cs="Times New Roman"/>
          <w:b/>
          <w:lang w:val="en"/>
        </w:rPr>
        <w:t xml:space="preserve"> two objectives</w:t>
      </w:r>
      <w:r w:rsidRPr="001F4999">
        <w:rPr>
          <w:rFonts w:ascii="Times New Roman" w:hAnsi="Times New Roman" w:cs="Times New Roman"/>
          <w:lang w:val="en"/>
        </w:rPr>
        <w:t xml:space="preserve">: (1) to </w:t>
      </w:r>
      <w:r w:rsidRPr="001F4999">
        <w:rPr>
          <w:rFonts w:ascii="Times New Roman" w:hAnsi="Times New Roman" w:cs="Times New Roman"/>
        </w:rPr>
        <w:t xml:space="preserve">conduct multidimensional assessment of diet, physical activity and related factors affecting aging adults and (2) </w:t>
      </w:r>
      <w:r w:rsidR="00C4545B" w:rsidRPr="001F4999">
        <w:rPr>
          <w:rFonts w:ascii="Times New Roman" w:hAnsi="Times New Roman" w:cs="Times New Roman"/>
        </w:rPr>
        <w:t>to develop, implement and evaluate interventions that improve health and well-being in aging adults in urban and rural environments.</w:t>
      </w:r>
      <w:r w:rsidRPr="001F4999">
        <w:rPr>
          <w:rFonts w:ascii="Times New Roman" w:hAnsi="Times New Roman" w:cs="Times New Roman"/>
        </w:rPr>
        <w:t xml:space="preserve"> Given the diversity of the current team, which includes experts from metabolic nutrition to Extension and Outreach researchers, our team is well positioned to address the health and well-being of community-residing older adults from </w:t>
      </w:r>
      <w:r w:rsidR="005B0C45" w:rsidRPr="001F4999">
        <w:rPr>
          <w:rFonts w:ascii="Times New Roman" w:hAnsi="Times New Roman" w:cs="Times New Roman"/>
        </w:rPr>
        <w:t xml:space="preserve">the </w:t>
      </w:r>
      <w:r w:rsidRPr="001F4999">
        <w:rPr>
          <w:rFonts w:ascii="Times New Roman" w:hAnsi="Times New Roman" w:cs="Times New Roman"/>
        </w:rPr>
        <w:t>lab</w:t>
      </w:r>
      <w:r w:rsidR="005B0C45" w:rsidRPr="001F4999">
        <w:rPr>
          <w:rFonts w:ascii="Times New Roman" w:hAnsi="Times New Roman" w:cs="Times New Roman"/>
        </w:rPr>
        <w:t>oratory</w:t>
      </w:r>
      <w:r w:rsidRPr="001F4999">
        <w:rPr>
          <w:rFonts w:ascii="Times New Roman" w:hAnsi="Times New Roman" w:cs="Times New Roman"/>
        </w:rPr>
        <w:t xml:space="preserve"> to community. This provides a unique opportunity to work from the metabolic level to translational science.</w:t>
      </w:r>
    </w:p>
    <w:p w14:paraId="1ABF2CBA" w14:textId="1410C66D" w:rsidR="002D640B" w:rsidRPr="001F4999" w:rsidRDefault="002D640B" w:rsidP="002C38B5">
      <w:pPr>
        <w:spacing w:after="0" w:line="240" w:lineRule="auto"/>
        <w:ind w:firstLine="720"/>
        <w:rPr>
          <w:rFonts w:ascii="Times New Roman" w:hAnsi="Times New Roman" w:cs="Times New Roman"/>
          <w:color w:val="000000"/>
        </w:rPr>
      </w:pPr>
      <w:r w:rsidRPr="001F4999">
        <w:rPr>
          <w:rFonts w:ascii="Times New Roman" w:hAnsi="Times New Roman" w:cs="Times New Roman"/>
        </w:rPr>
        <w:t xml:space="preserve">We will also expand our reach to include those age 40 years and older. This expansion of age inclusion is based our present work that has </w:t>
      </w:r>
      <w:r w:rsidRPr="001F4999">
        <w:rPr>
          <w:rFonts w:ascii="Times New Roman" w:hAnsi="Times New Roman" w:cs="Times New Roman"/>
          <w:color w:val="000000"/>
        </w:rPr>
        <w:t xml:space="preserve">illustrated the need to start interventions earlier than age 60 when applicable </w:t>
      </w:r>
      <w:r w:rsidR="00737CE3" w:rsidRPr="001F4999">
        <w:rPr>
          <w:rFonts w:ascii="Times New Roman" w:hAnsi="Times New Roman" w:cs="Times New Roman"/>
          <w:color w:val="000000"/>
          <w:vertAlign w:val="superscript"/>
        </w:rPr>
        <w:t>17, 45, 53</w:t>
      </w:r>
      <w:r w:rsidRPr="001F4999">
        <w:rPr>
          <w:rFonts w:ascii="Times New Roman" w:hAnsi="Times New Roman" w:cs="Times New Roman"/>
          <w:color w:val="0D0D0D" w:themeColor="text1" w:themeTint="F2"/>
        </w:rPr>
        <w:t>.</w:t>
      </w:r>
    </w:p>
    <w:p w14:paraId="33238D19" w14:textId="77777777" w:rsidR="002D640B" w:rsidRPr="001F4999" w:rsidRDefault="002D640B" w:rsidP="002C38B5">
      <w:pPr>
        <w:shd w:val="clear" w:color="auto" w:fill="FFFFFF"/>
        <w:spacing w:after="0" w:line="240" w:lineRule="auto"/>
        <w:rPr>
          <w:rFonts w:ascii="Times New Roman" w:eastAsia="Times New Roman" w:hAnsi="Times New Roman" w:cs="Times New Roman"/>
          <w:b/>
          <w:lang w:val="en"/>
        </w:rPr>
      </w:pPr>
    </w:p>
    <w:p w14:paraId="75E8D464" w14:textId="77777777" w:rsidR="002D640B" w:rsidRPr="001F4999" w:rsidRDefault="002D640B" w:rsidP="002C38B5">
      <w:pPr>
        <w:shd w:val="clear" w:color="auto" w:fill="FFFFFF"/>
        <w:spacing w:after="0" w:line="240" w:lineRule="auto"/>
        <w:rPr>
          <w:rFonts w:ascii="Times New Roman" w:eastAsia="Times New Roman" w:hAnsi="Times New Roman" w:cs="Times New Roman"/>
          <w:b/>
          <w:lang w:val="en"/>
        </w:rPr>
      </w:pPr>
      <w:r w:rsidRPr="001F4999">
        <w:rPr>
          <w:rFonts w:ascii="Times New Roman" w:eastAsia="Times New Roman" w:hAnsi="Times New Roman" w:cs="Times New Roman"/>
          <w:b/>
          <w:lang w:val="en"/>
        </w:rPr>
        <w:t>The technical feasibility of the research.</w:t>
      </w:r>
    </w:p>
    <w:p w14:paraId="0028F825" w14:textId="21DCCFEA" w:rsidR="002D640B" w:rsidRPr="001F4999" w:rsidRDefault="002D640B" w:rsidP="002C38B5">
      <w:pPr>
        <w:spacing w:after="0" w:line="240" w:lineRule="auto"/>
        <w:ind w:firstLine="720"/>
        <w:rPr>
          <w:rFonts w:ascii="Times New Roman" w:hAnsi="Times New Roman" w:cs="Times New Roman"/>
          <w:b/>
          <w:bCs/>
        </w:rPr>
      </w:pPr>
      <w:r w:rsidRPr="001F4999">
        <w:rPr>
          <w:rFonts w:ascii="Times New Roman" w:hAnsi="Times New Roman" w:cs="Times New Roman"/>
          <w:lang w:val="en"/>
        </w:rPr>
        <w:t xml:space="preserve">Our team has </w:t>
      </w:r>
      <w:r w:rsidRPr="001F4999">
        <w:rPr>
          <w:rFonts w:ascii="Times New Roman" w:hAnsi="Times New Roman" w:cs="Times New Roman"/>
        </w:rPr>
        <w:t>a long-standing interest</w:t>
      </w:r>
      <w:r w:rsidR="00B321D6" w:rsidRPr="001F4999">
        <w:rPr>
          <w:rFonts w:ascii="Times New Roman" w:hAnsi="Times New Roman" w:cs="Times New Roman"/>
        </w:rPr>
        <w:t xml:space="preserve"> and strong research record</w:t>
      </w:r>
      <w:r w:rsidRPr="001F4999">
        <w:rPr>
          <w:rFonts w:ascii="Times New Roman" w:hAnsi="Times New Roman" w:cs="Times New Roman"/>
        </w:rPr>
        <w:t xml:space="preserve"> in</w:t>
      </w:r>
      <w:r w:rsidR="00B321D6" w:rsidRPr="001F4999">
        <w:rPr>
          <w:rFonts w:ascii="Times New Roman" w:hAnsi="Times New Roman" w:cs="Times New Roman"/>
        </w:rPr>
        <w:t xml:space="preserve"> the areas of</w:t>
      </w:r>
      <w:r w:rsidRPr="001F4999">
        <w:rPr>
          <w:rFonts w:ascii="Times New Roman" w:hAnsi="Times New Roman" w:cs="Times New Roman"/>
        </w:rPr>
        <w:t xml:space="preserve"> aging, nutrition, exercise</w:t>
      </w:r>
      <w:r w:rsidR="00CD7FD4" w:rsidRPr="001F4999">
        <w:rPr>
          <w:rFonts w:ascii="Times New Roman" w:hAnsi="Times New Roman" w:cs="Times New Roman"/>
        </w:rPr>
        <w:t>/physical activity</w:t>
      </w:r>
      <w:r w:rsidRPr="001F4999">
        <w:rPr>
          <w:rFonts w:ascii="Times New Roman" w:hAnsi="Times New Roman" w:cs="Times New Roman"/>
        </w:rPr>
        <w:t>,</w:t>
      </w:r>
      <w:r w:rsidR="00F2730A" w:rsidRPr="001F4999">
        <w:rPr>
          <w:rFonts w:ascii="Times New Roman" w:hAnsi="Times New Roman" w:cs="Times New Roman"/>
        </w:rPr>
        <w:t xml:space="preserve"> physiology</w:t>
      </w:r>
      <w:r w:rsidRPr="001F4999">
        <w:rPr>
          <w:rFonts w:ascii="Times New Roman" w:hAnsi="Times New Roman" w:cs="Times New Roman"/>
        </w:rPr>
        <w:t xml:space="preserve"> and health promotion. </w:t>
      </w:r>
      <w:r w:rsidRPr="001F4999">
        <w:rPr>
          <w:rFonts w:ascii="Times New Roman" w:hAnsi="Times New Roman" w:cs="Times New Roman"/>
          <w:lang w:val="en"/>
        </w:rPr>
        <w:t>Each has extensive experience in one of the five areas: metabolic nutrition, nutrition and/or physical activity interventions, qualitative research, nutritional science, and cell physiology. T</w:t>
      </w:r>
      <w:r w:rsidRPr="001F4999">
        <w:rPr>
          <w:rFonts w:ascii="Times New Roman" w:hAnsi="Times New Roman" w:cs="Times New Roman"/>
        </w:rPr>
        <w:t xml:space="preserve">he proposed research is strengthened by our interdisciplinary approach that embodies translational research taking it from the lab to the community. The project team has a successful work history, including project development, data collection, evaluation, and dissemination. </w:t>
      </w:r>
    </w:p>
    <w:p w14:paraId="3EC441A3" w14:textId="77777777" w:rsidR="002D640B" w:rsidRPr="001F4999" w:rsidRDefault="002D640B" w:rsidP="002C38B5">
      <w:pPr>
        <w:pStyle w:val="ListParagraph"/>
        <w:shd w:val="clear" w:color="auto" w:fill="FFFFFF"/>
        <w:spacing w:after="0" w:line="240" w:lineRule="auto"/>
        <w:rPr>
          <w:rFonts w:ascii="Times New Roman" w:eastAsia="Times New Roman" w:hAnsi="Times New Roman"/>
          <w:b/>
          <w:lang w:val="en"/>
        </w:rPr>
      </w:pPr>
    </w:p>
    <w:p w14:paraId="0A16EBC7" w14:textId="77777777" w:rsidR="002D640B" w:rsidRPr="001F4999" w:rsidRDefault="002D640B" w:rsidP="002C38B5">
      <w:pPr>
        <w:shd w:val="clear" w:color="auto" w:fill="FFFFFF"/>
        <w:spacing w:after="0" w:line="240" w:lineRule="auto"/>
        <w:rPr>
          <w:rFonts w:ascii="Times New Roman" w:eastAsia="Times New Roman" w:hAnsi="Times New Roman" w:cs="Times New Roman"/>
          <w:b/>
          <w:lang w:val="en"/>
        </w:rPr>
      </w:pPr>
      <w:r w:rsidRPr="001F4999">
        <w:rPr>
          <w:rFonts w:ascii="Times New Roman" w:eastAsia="Times New Roman" w:hAnsi="Times New Roman" w:cs="Times New Roman"/>
          <w:b/>
          <w:lang w:val="en"/>
        </w:rPr>
        <w:t>The advantages for doing the work as a multistate effort.</w:t>
      </w:r>
    </w:p>
    <w:p w14:paraId="2C5FDFD3" w14:textId="710002B1" w:rsidR="002D640B" w:rsidRPr="001F4999" w:rsidRDefault="002D640B" w:rsidP="002C38B5">
      <w:pPr>
        <w:spacing w:after="0" w:line="240" w:lineRule="auto"/>
        <w:ind w:firstLine="720"/>
        <w:rPr>
          <w:rFonts w:ascii="Times New Roman" w:hAnsi="Times New Roman" w:cs="Times New Roman"/>
        </w:rPr>
      </w:pPr>
      <w:r w:rsidRPr="001F4999">
        <w:rPr>
          <w:rFonts w:ascii="Times New Roman" w:eastAsia="Times New Roman" w:hAnsi="Times New Roman" w:cs="Times New Roman"/>
          <w:lang w:val="en"/>
        </w:rPr>
        <w:t xml:space="preserve">This multistate </w:t>
      </w:r>
      <w:r w:rsidR="00E81706" w:rsidRPr="001F4999">
        <w:rPr>
          <w:rFonts w:ascii="Times New Roman" w:eastAsia="Times New Roman" w:hAnsi="Times New Roman" w:cs="Times New Roman"/>
          <w:lang w:val="en"/>
        </w:rPr>
        <w:t>aspect</w:t>
      </w:r>
      <w:r w:rsidRPr="001F4999">
        <w:rPr>
          <w:rFonts w:ascii="Times New Roman" w:eastAsia="Times New Roman" w:hAnsi="Times New Roman" w:cs="Times New Roman"/>
          <w:lang w:val="en"/>
        </w:rPr>
        <w:t xml:space="preserve"> will provide the opportunity for team members to reach a diverse group of aging adults from around the United States. </w:t>
      </w:r>
      <w:r w:rsidR="002428AE" w:rsidRPr="001F4999">
        <w:rPr>
          <w:rFonts w:ascii="Times New Roman" w:hAnsi="Times New Roman" w:cs="Times New Roman"/>
        </w:rPr>
        <w:t xml:space="preserve">The multistate and institutional aspect allows us to collect data in a range of socioeconomic and ethnically diverse populations and across rural, suburban and urban geographical areas. </w:t>
      </w:r>
      <w:r w:rsidRPr="001F4999">
        <w:rPr>
          <w:rFonts w:ascii="Times New Roman" w:hAnsi="Times New Roman" w:cs="Times New Roman"/>
        </w:rPr>
        <w:t xml:space="preserve">This multistate group currently covers the northeast, mid-Atlantic, Southern, and upper Midwest regions of the country. Second, the multistate nature of the project, which entails the utilization of standardized assessment tools used by all researchers, lends itself to the establishment of a large data set from which additional analyses can be conducted. Additionally, the collaborative nature of the proposed work will allow a better utilization of research funding on larger-scale, multi-purpose, comprehensive projects that embodies translational research (lab to community). </w:t>
      </w:r>
    </w:p>
    <w:p w14:paraId="751A73C5" w14:textId="77777777" w:rsidR="002D640B" w:rsidRPr="001F4999" w:rsidRDefault="002D640B" w:rsidP="002C38B5">
      <w:pPr>
        <w:pStyle w:val="ListParagraph"/>
        <w:shd w:val="clear" w:color="auto" w:fill="FFFFFF"/>
        <w:spacing w:after="0" w:line="240" w:lineRule="auto"/>
        <w:ind w:left="1080"/>
        <w:rPr>
          <w:rFonts w:ascii="Times New Roman" w:eastAsia="Times New Roman" w:hAnsi="Times New Roman"/>
          <w:lang w:val="en"/>
        </w:rPr>
      </w:pPr>
    </w:p>
    <w:p w14:paraId="12D84FC5" w14:textId="77777777" w:rsidR="002D640B" w:rsidRPr="001F4999" w:rsidRDefault="002D640B" w:rsidP="002C38B5">
      <w:pPr>
        <w:shd w:val="clear" w:color="auto" w:fill="FFFFFF"/>
        <w:spacing w:after="0" w:line="240" w:lineRule="auto"/>
        <w:rPr>
          <w:rFonts w:ascii="Times New Roman" w:eastAsia="Times New Roman" w:hAnsi="Times New Roman" w:cs="Times New Roman"/>
          <w:b/>
          <w:lang w:val="en"/>
        </w:rPr>
      </w:pPr>
      <w:r w:rsidRPr="001F4999">
        <w:rPr>
          <w:rFonts w:ascii="Times New Roman" w:eastAsia="Times New Roman" w:hAnsi="Times New Roman" w:cs="Times New Roman"/>
          <w:b/>
          <w:lang w:val="en"/>
        </w:rPr>
        <w:t xml:space="preserve">Anticipated Impacts </w:t>
      </w:r>
    </w:p>
    <w:p w14:paraId="0F78EE25" w14:textId="2C55355A" w:rsidR="002D640B" w:rsidRPr="001F4999" w:rsidRDefault="002D640B" w:rsidP="002C38B5">
      <w:pPr>
        <w:shd w:val="clear" w:color="auto" w:fill="FFFFFF"/>
        <w:spacing w:after="0" w:line="240" w:lineRule="auto"/>
        <w:rPr>
          <w:rFonts w:ascii="Times New Roman" w:eastAsia="Times New Roman" w:hAnsi="Times New Roman" w:cs="Times New Roman"/>
          <w:lang w:val="en"/>
        </w:rPr>
      </w:pPr>
      <w:r w:rsidRPr="001F4999">
        <w:rPr>
          <w:rFonts w:ascii="Times New Roman" w:eastAsia="Times New Roman" w:hAnsi="Times New Roman" w:cs="Times New Roman"/>
          <w:b/>
          <w:lang w:val="en"/>
        </w:rPr>
        <w:lastRenderedPageBreak/>
        <w:tab/>
      </w:r>
      <w:r w:rsidRPr="001F4999">
        <w:rPr>
          <w:rFonts w:ascii="Times New Roman" w:eastAsia="Times New Roman" w:hAnsi="Times New Roman" w:cs="Times New Roman"/>
          <w:lang w:val="en"/>
        </w:rPr>
        <w:t xml:space="preserve">The proposed multistate research team </w:t>
      </w:r>
      <w:r w:rsidRPr="001F4999">
        <w:rPr>
          <w:rFonts w:ascii="Times New Roman" w:eastAsia="Times New Roman" w:hAnsi="Times New Roman" w:cs="Times New Roman"/>
          <w:u w:val="single"/>
          <w:lang w:val="en"/>
        </w:rPr>
        <w:t>will train undergraduate and graduate students</w:t>
      </w:r>
      <w:r w:rsidRPr="001F4999">
        <w:rPr>
          <w:rFonts w:ascii="Times New Roman" w:eastAsia="Times New Roman" w:hAnsi="Times New Roman" w:cs="Times New Roman"/>
          <w:lang w:val="en"/>
        </w:rPr>
        <w:t xml:space="preserve"> in qualitative research (e.g., conducting focus groups, analyzing focus group transcripts), quantitative research (e.g., data collection, data analysis), professional </w:t>
      </w:r>
      <w:r w:rsidR="00384F35" w:rsidRPr="001F4999">
        <w:rPr>
          <w:rFonts w:ascii="Times New Roman" w:eastAsia="Times New Roman" w:hAnsi="Times New Roman" w:cs="Times New Roman"/>
          <w:lang w:val="en"/>
        </w:rPr>
        <w:t xml:space="preserve">and scientific </w:t>
      </w:r>
      <w:r w:rsidRPr="001F4999">
        <w:rPr>
          <w:rFonts w:ascii="Times New Roman" w:eastAsia="Times New Roman" w:hAnsi="Times New Roman" w:cs="Times New Roman"/>
          <w:lang w:val="en"/>
        </w:rPr>
        <w:t xml:space="preserve">writing, laboratory skills, anthropometric measures, nutritional status assessment, dietary intake assessment, and </w:t>
      </w:r>
      <w:r w:rsidR="0082337D" w:rsidRPr="001F4999">
        <w:rPr>
          <w:rFonts w:ascii="Times New Roman" w:eastAsia="Times New Roman" w:hAnsi="Times New Roman" w:cs="Times New Roman"/>
          <w:lang w:val="en"/>
        </w:rPr>
        <w:t>physical function</w:t>
      </w:r>
      <w:r w:rsidRPr="001F4999">
        <w:rPr>
          <w:rFonts w:ascii="Times New Roman" w:eastAsia="Times New Roman" w:hAnsi="Times New Roman" w:cs="Times New Roman"/>
          <w:lang w:val="en"/>
        </w:rPr>
        <w:t xml:space="preserve">. The team will </w:t>
      </w:r>
      <w:r w:rsidRPr="001F4999">
        <w:rPr>
          <w:rFonts w:ascii="Times New Roman" w:eastAsia="Times New Roman" w:hAnsi="Times New Roman" w:cs="Times New Roman"/>
          <w:u w:val="single"/>
          <w:lang w:val="en"/>
        </w:rPr>
        <w:t>submit collaborative grant applications</w:t>
      </w:r>
      <w:r w:rsidRPr="001F4999">
        <w:rPr>
          <w:rFonts w:ascii="Times New Roman" w:eastAsia="Times New Roman" w:hAnsi="Times New Roman" w:cs="Times New Roman"/>
          <w:lang w:val="en"/>
        </w:rPr>
        <w:t xml:space="preserve"> to external funding organizations and </w:t>
      </w:r>
      <w:r w:rsidRPr="001F4999">
        <w:rPr>
          <w:rFonts w:ascii="Times New Roman" w:eastAsia="Times New Roman" w:hAnsi="Times New Roman" w:cs="Times New Roman"/>
          <w:u w:val="single"/>
          <w:lang w:val="en"/>
        </w:rPr>
        <w:t>publish research findings</w:t>
      </w:r>
      <w:r w:rsidRPr="001F4999">
        <w:rPr>
          <w:rFonts w:ascii="Times New Roman" w:eastAsia="Times New Roman" w:hAnsi="Times New Roman" w:cs="Times New Roman"/>
          <w:lang w:val="en"/>
        </w:rPr>
        <w:t xml:space="preserve"> in joint publications. The work conducted through our independent and collaborative efforts will (1) </w:t>
      </w:r>
      <w:r w:rsidRPr="001F4999">
        <w:rPr>
          <w:rFonts w:ascii="Times New Roman" w:eastAsia="Times New Roman" w:hAnsi="Times New Roman" w:cs="Times New Roman"/>
          <w:u w:val="single"/>
          <w:lang w:val="en"/>
        </w:rPr>
        <w:t xml:space="preserve">provide a better understanding of nutrition and </w:t>
      </w:r>
      <w:r w:rsidR="00384F35" w:rsidRPr="001F4999">
        <w:rPr>
          <w:rFonts w:ascii="Times New Roman" w:eastAsia="Times New Roman" w:hAnsi="Times New Roman" w:cs="Times New Roman"/>
          <w:u w:val="single"/>
          <w:lang w:val="en"/>
        </w:rPr>
        <w:t>physical activ</w:t>
      </w:r>
      <w:r w:rsidR="005E1728" w:rsidRPr="001F4999">
        <w:rPr>
          <w:rFonts w:ascii="Times New Roman" w:eastAsia="Times New Roman" w:hAnsi="Times New Roman" w:cs="Times New Roman"/>
          <w:u w:val="single"/>
          <w:lang w:val="en"/>
        </w:rPr>
        <w:t>ity</w:t>
      </w:r>
      <w:r w:rsidR="00384F35" w:rsidRPr="001F4999">
        <w:rPr>
          <w:rFonts w:ascii="Times New Roman" w:eastAsia="Times New Roman" w:hAnsi="Times New Roman" w:cs="Times New Roman"/>
          <w:u w:val="single"/>
          <w:lang w:val="en"/>
        </w:rPr>
        <w:t xml:space="preserve"> </w:t>
      </w:r>
      <w:r w:rsidRPr="001F4999">
        <w:rPr>
          <w:rFonts w:ascii="Times New Roman" w:eastAsia="Times New Roman" w:hAnsi="Times New Roman" w:cs="Times New Roman"/>
          <w:u w:val="single"/>
          <w:lang w:val="en"/>
        </w:rPr>
        <w:t>needs</w:t>
      </w:r>
      <w:r w:rsidRPr="001F4999">
        <w:rPr>
          <w:rFonts w:ascii="Times New Roman" w:eastAsia="Times New Roman" w:hAnsi="Times New Roman" w:cs="Times New Roman"/>
          <w:lang w:val="en"/>
        </w:rPr>
        <w:t xml:space="preserve"> of at</w:t>
      </w:r>
      <w:r w:rsidR="00384F35" w:rsidRPr="001F4999">
        <w:rPr>
          <w:rFonts w:ascii="Times New Roman" w:eastAsia="Times New Roman" w:hAnsi="Times New Roman" w:cs="Times New Roman"/>
          <w:lang w:val="en"/>
        </w:rPr>
        <w:t>-</w:t>
      </w:r>
      <w:r w:rsidRPr="001F4999">
        <w:rPr>
          <w:rFonts w:ascii="Times New Roman" w:eastAsia="Times New Roman" w:hAnsi="Times New Roman" w:cs="Times New Roman"/>
          <w:lang w:val="en"/>
        </w:rPr>
        <w:t xml:space="preserve">risk aging adults, (2) </w:t>
      </w:r>
      <w:r w:rsidRPr="001F4999">
        <w:rPr>
          <w:rFonts w:ascii="Times New Roman" w:eastAsia="Times New Roman" w:hAnsi="Times New Roman" w:cs="Times New Roman"/>
          <w:u w:val="single"/>
          <w:lang w:val="en"/>
        </w:rPr>
        <w:t>develop and implement effective strategies</w:t>
      </w:r>
      <w:r w:rsidRPr="001F4999">
        <w:rPr>
          <w:rFonts w:ascii="Times New Roman" w:eastAsia="Times New Roman" w:hAnsi="Times New Roman" w:cs="Times New Roman"/>
          <w:lang w:val="en"/>
        </w:rPr>
        <w:t xml:space="preserve"> to address these needs, and (3) </w:t>
      </w:r>
      <w:r w:rsidRPr="001F4999">
        <w:rPr>
          <w:rFonts w:ascii="Times New Roman" w:eastAsia="Times New Roman" w:hAnsi="Times New Roman" w:cs="Times New Roman"/>
          <w:u w:val="single"/>
          <w:lang w:val="en"/>
        </w:rPr>
        <w:t>identify biomarkers</w:t>
      </w:r>
      <w:r w:rsidRPr="001F4999">
        <w:rPr>
          <w:rFonts w:ascii="Times New Roman" w:eastAsia="Times New Roman" w:hAnsi="Times New Roman" w:cs="Times New Roman"/>
          <w:lang w:val="en"/>
        </w:rPr>
        <w:t xml:space="preserve"> related to the health of aging adults. Overall, these combined efforts will improve understanding of the dietary intakes, </w:t>
      </w:r>
      <w:r w:rsidR="00E25215" w:rsidRPr="001F4999">
        <w:rPr>
          <w:rFonts w:ascii="Times New Roman" w:eastAsia="Times New Roman" w:hAnsi="Times New Roman" w:cs="Times New Roman"/>
          <w:lang w:val="en"/>
        </w:rPr>
        <w:t>physical function</w:t>
      </w:r>
      <w:r w:rsidRPr="001F4999">
        <w:rPr>
          <w:rFonts w:ascii="Times New Roman" w:eastAsia="Times New Roman" w:hAnsi="Times New Roman" w:cs="Times New Roman"/>
          <w:lang w:val="en"/>
        </w:rPr>
        <w:t xml:space="preserve">, QOL and food security, lower sarcopenia risk, and reduce age-related diseases such as type 2 diabetes. </w:t>
      </w:r>
    </w:p>
    <w:p w14:paraId="24F29573" w14:textId="77777777" w:rsidR="008C4D96" w:rsidRPr="001F4999" w:rsidRDefault="008C4D96" w:rsidP="002C38B5">
      <w:pPr>
        <w:spacing w:after="0" w:line="240" w:lineRule="auto"/>
        <w:rPr>
          <w:rFonts w:ascii="Times New Roman" w:eastAsia="Times New Roman" w:hAnsi="Times New Roman" w:cs="Times New Roman"/>
          <w:b/>
          <w:lang w:val="en"/>
        </w:rPr>
      </w:pPr>
    </w:p>
    <w:p w14:paraId="095C357F" w14:textId="0EEE6647" w:rsidR="002D640B" w:rsidRPr="001F4999" w:rsidRDefault="002D640B" w:rsidP="002C38B5">
      <w:pPr>
        <w:spacing w:after="0" w:line="240" w:lineRule="auto"/>
        <w:rPr>
          <w:rFonts w:ascii="Times New Roman" w:hAnsi="Times New Roman" w:cs="Times New Roman"/>
          <w:color w:val="FF0000"/>
        </w:rPr>
      </w:pPr>
      <w:r w:rsidRPr="001F4999">
        <w:rPr>
          <w:rFonts w:ascii="Times New Roman" w:eastAsia="Times New Roman" w:hAnsi="Times New Roman" w:cs="Times New Roman"/>
          <w:b/>
          <w:lang w:val="en"/>
        </w:rPr>
        <w:t>RELATED CURRENT AND RELEVANT WORK</w:t>
      </w:r>
      <w:r w:rsidR="00522BB6" w:rsidRPr="001F4999">
        <w:rPr>
          <w:rFonts w:ascii="Times New Roman" w:eastAsia="Times New Roman" w:hAnsi="Times New Roman" w:cs="Times New Roman"/>
          <w:b/>
          <w:color w:val="FF0000"/>
          <w:lang w:val="en"/>
        </w:rPr>
        <w:t xml:space="preserve"> </w:t>
      </w:r>
    </w:p>
    <w:p w14:paraId="317CFF03" w14:textId="6C965EB6" w:rsidR="002D640B" w:rsidRPr="001F4999" w:rsidRDefault="00B21DA9" w:rsidP="002C38B5">
      <w:pPr>
        <w:spacing w:after="0" w:line="240" w:lineRule="auto"/>
        <w:rPr>
          <w:rFonts w:ascii="Times New Roman" w:hAnsi="Times New Roman" w:cs="Times New Roman"/>
        </w:rPr>
      </w:pPr>
      <w:r w:rsidRPr="001F4999">
        <w:rPr>
          <w:rFonts w:ascii="Times New Roman" w:eastAsia="Times New Roman" w:hAnsi="Times New Roman" w:cs="Times New Roman"/>
          <w:lang w:val="en"/>
        </w:rPr>
        <w:tab/>
      </w:r>
      <w:r w:rsidRPr="001F4999">
        <w:rPr>
          <w:rFonts w:ascii="Times New Roman" w:eastAsia="Times New Roman" w:hAnsi="Times New Roman" w:cs="Times New Roman"/>
          <w:u w:val="single"/>
          <w:lang w:val="en"/>
        </w:rPr>
        <w:t>Related multistate projects</w:t>
      </w:r>
      <w:r w:rsidRPr="001F4999">
        <w:rPr>
          <w:rFonts w:ascii="Times New Roman" w:eastAsia="Times New Roman" w:hAnsi="Times New Roman" w:cs="Times New Roman"/>
          <w:lang w:val="en"/>
        </w:rPr>
        <w:t xml:space="preserve">. </w:t>
      </w:r>
      <w:r w:rsidR="008247BD" w:rsidRPr="001F4999">
        <w:rPr>
          <w:rFonts w:ascii="Times New Roman" w:eastAsia="Times New Roman" w:hAnsi="Times New Roman" w:cs="Times New Roman"/>
          <w:lang w:val="en"/>
        </w:rPr>
        <w:t xml:space="preserve">A recent </w:t>
      </w:r>
      <w:r w:rsidR="008247BD" w:rsidRPr="001F4999">
        <w:rPr>
          <w:rFonts w:ascii="Times New Roman" w:hAnsi="Times New Roman" w:cs="Times New Roman"/>
        </w:rPr>
        <w:t xml:space="preserve">Current Research Information System (CRIS) search of multistate research projects was conducted using the key words: human, aging, nutrition, exercise, physical activity, </w:t>
      </w:r>
      <w:r w:rsidR="00CB11CA" w:rsidRPr="001F4999">
        <w:rPr>
          <w:rFonts w:ascii="Times New Roman" w:hAnsi="Times New Roman" w:cs="Times New Roman"/>
        </w:rPr>
        <w:t xml:space="preserve">obesity, </w:t>
      </w:r>
      <w:r w:rsidR="008247BD" w:rsidRPr="001F4999">
        <w:rPr>
          <w:rFonts w:ascii="Times New Roman" w:hAnsi="Times New Roman" w:cs="Times New Roman"/>
        </w:rPr>
        <w:t xml:space="preserve">and sarcopenia. </w:t>
      </w:r>
      <w:r w:rsidR="001B6B7D" w:rsidRPr="001F4999">
        <w:rPr>
          <w:rFonts w:ascii="Times New Roman" w:hAnsi="Times New Roman" w:cs="Times New Roman"/>
        </w:rPr>
        <w:t xml:space="preserve">This search revealed this proposed renewal project is </w:t>
      </w:r>
      <w:r w:rsidR="00B321D6" w:rsidRPr="001F4999">
        <w:rPr>
          <w:rFonts w:ascii="Times New Roman" w:hAnsi="Times New Roman" w:cs="Times New Roman"/>
        </w:rPr>
        <w:t>unique</w:t>
      </w:r>
      <w:r w:rsidR="001B6B7D" w:rsidRPr="001F4999">
        <w:rPr>
          <w:rFonts w:ascii="Times New Roman" w:hAnsi="Times New Roman" w:cs="Times New Roman"/>
        </w:rPr>
        <w:t xml:space="preserve">. Other multistate initiatives address </w:t>
      </w:r>
      <w:r w:rsidR="00D30E5D" w:rsidRPr="001F4999">
        <w:rPr>
          <w:rFonts w:ascii="Times New Roman" w:hAnsi="Times New Roman" w:cs="Times New Roman"/>
        </w:rPr>
        <w:t xml:space="preserve">in some aspect </w:t>
      </w:r>
      <w:r w:rsidR="00CB11CA" w:rsidRPr="001F4999">
        <w:rPr>
          <w:rFonts w:ascii="Times New Roman" w:hAnsi="Times New Roman" w:cs="Times New Roman"/>
        </w:rPr>
        <w:t>nutrition, physical activity, exercise, obesity and sarcopenia</w:t>
      </w:r>
      <w:r w:rsidR="001B6B7D" w:rsidRPr="001F4999">
        <w:rPr>
          <w:rFonts w:ascii="Times New Roman" w:hAnsi="Times New Roman" w:cs="Times New Roman"/>
        </w:rPr>
        <w:t xml:space="preserve">, but the focus on </w:t>
      </w:r>
      <w:r w:rsidR="00384F35" w:rsidRPr="001F4999">
        <w:rPr>
          <w:rFonts w:ascii="Times New Roman" w:hAnsi="Times New Roman" w:cs="Times New Roman"/>
        </w:rPr>
        <w:t xml:space="preserve">aging and </w:t>
      </w:r>
      <w:r w:rsidR="001B6B7D" w:rsidRPr="001F4999">
        <w:rPr>
          <w:rFonts w:ascii="Times New Roman" w:hAnsi="Times New Roman" w:cs="Times New Roman"/>
        </w:rPr>
        <w:t>older adults is not replicated</w:t>
      </w:r>
      <w:r w:rsidR="00B321D6" w:rsidRPr="001F4999">
        <w:rPr>
          <w:rFonts w:ascii="Times New Roman" w:hAnsi="Times New Roman" w:cs="Times New Roman"/>
        </w:rPr>
        <w:t xml:space="preserve"> with other multistate projects</w:t>
      </w:r>
      <w:r w:rsidR="001B6B7D" w:rsidRPr="001F4999">
        <w:rPr>
          <w:rFonts w:ascii="Times New Roman" w:hAnsi="Times New Roman" w:cs="Times New Roman"/>
        </w:rPr>
        <w:t>.</w:t>
      </w:r>
      <w:r w:rsidR="00FB4E14" w:rsidRPr="001F4999">
        <w:rPr>
          <w:rFonts w:ascii="Times New Roman" w:hAnsi="Times New Roman" w:cs="Times New Roman"/>
        </w:rPr>
        <w:t xml:space="preserve"> </w:t>
      </w:r>
      <w:r w:rsidR="00FB4E14" w:rsidRPr="001F4999">
        <w:rPr>
          <w:rFonts w:ascii="Times New Roman" w:hAnsi="Times New Roman" w:cs="Times New Roman"/>
          <w:color w:val="0D0D0D" w:themeColor="text1" w:themeTint="F2"/>
        </w:rPr>
        <w:t>Furthermore, t</w:t>
      </w:r>
      <w:r w:rsidR="00FB4E14" w:rsidRPr="001F4999">
        <w:rPr>
          <w:rFonts w:ascii="Times New Roman" w:hAnsi="Times New Roman" w:cs="Times New Roman"/>
          <w:color w:val="000000"/>
        </w:rPr>
        <w:t>here are no known groups working at the intersection of these important topics whose members represent such a diverse range of disciplines and skills and continued support of these efforts is perhaps more important than ever before as the population of the US is continuing to age.</w:t>
      </w:r>
    </w:p>
    <w:p w14:paraId="3A33BD80" w14:textId="55E70B3B" w:rsidR="006D2E52" w:rsidRPr="001F4999" w:rsidRDefault="002D640B" w:rsidP="002C38B5">
      <w:pPr>
        <w:spacing w:after="0" w:line="240" w:lineRule="auto"/>
        <w:rPr>
          <w:rFonts w:ascii="Times New Roman" w:hAnsi="Times New Roman" w:cs="Times New Roman"/>
        </w:rPr>
      </w:pPr>
      <w:r w:rsidRPr="001F4999">
        <w:rPr>
          <w:rFonts w:ascii="Times New Roman" w:eastAsia="Times New Roman" w:hAnsi="Times New Roman" w:cs="Times New Roman"/>
          <w:lang w:val="en"/>
        </w:rPr>
        <w:tab/>
      </w:r>
      <w:r w:rsidR="00BF6696" w:rsidRPr="001F4999">
        <w:rPr>
          <w:rFonts w:ascii="Times New Roman" w:eastAsia="Times New Roman" w:hAnsi="Times New Roman" w:cs="Times New Roman"/>
          <w:u w:val="single"/>
          <w:lang w:val="en"/>
        </w:rPr>
        <w:t>Accomplishments under current project.</w:t>
      </w:r>
      <w:r w:rsidR="00BF6696" w:rsidRPr="001F4999">
        <w:rPr>
          <w:rFonts w:ascii="Times New Roman" w:eastAsia="Times New Roman" w:hAnsi="Times New Roman" w:cs="Times New Roman"/>
          <w:lang w:val="en"/>
        </w:rPr>
        <w:t xml:space="preserve"> </w:t>
      </w:r>
      <w:r w:rsidR="006D2E52" w:rsidRPr="001F4999">
        <w:rPr>
          <w:rFonts w:ascii="Times New Roman" w:hAnsi="Times New Roman" w:cs="Times New Roman"/>
        </w:rPr>
        <w:t>A strength of t</w:t>
      </w:r>
      <w:r w:rsidR="00A41565" w:rsidRPr="001F4999">
        <w:rPr>
          <w:rFonts w:ascii="Times New Roman" w:hAnsi="Times New Roman" w:cs="Times New Roman"/>
        </w:rPr>
        <w:t xml:space="preserve">he </w:t>
      </w:r>
      <w:r w:rsidR="002C38B5" w:rsidRPr="001F4999">
        <w:rPr>
          <w:rFonts w:ascii="Times New Roman" w:eastAsia="Times New Roman" w:hAnsi="Times New Roman" w:cs="Times New Roman"/>
          <w:lang w:val="en"/>
        </w:rPr>
        <w:t>NE</w:t>
      </w:r>
      <w:r w:rsidR="00D30E5D" w:rsidRPr="001F4999">
        <w:rPr>
          <w:rFonts w:ascii="Times New Roman" w:eastAsia="Times New Roman" w:hAnsi="Times New Roman" w:cs="Times New Roman"/>
          <w:lang w:val="en"/>
        </w:rPr>
        <w:t>-</w:t>
      </w:r>
      <w:r w:rsidR="002C38B5" w:rsidRPr="001F4999">
        <w:rPr>
          <w:rFonts w:ascii="Times New Roman" w:eastAsia="Times New Roman" w:hAnsi="Times New Roman" w:cs="Times New Roman"/>
          <w:lang w:val="en"/>
        </w:rPr>
        <w:t>1439</w:t>
      </w:r>
      <w:r w:rsidR="006D2E52" w:rsidRPr="001F4999">
        <w:rPr>
          <w:rFonts w:ascii="Times New Roman" w:eastAsia="Times New Roman" w:hAnsi="Times New Roman" w:cs="Times New Roman"/>
          <w:lang w:val="en"/>
        </w:rPr>
        <w:t xml:space="preserve">: Changing the </w:t>
      </w:r>
      <w:r w:rsidR="00B321D6" w:rsidRPr="001F4999">
        <w:rPr>
          <w:rFonts w:ascii="Times New Roman" w:eastAsia="Times New Roman" w:hAnsi="Times New Roman" w:cs="Times New Roman"/>
          <w:lang w:val="en"/>
        </w:rPr>
        <w:t xml:space="preserve">Health Trajectory </w:t>
      </w:r>
      <w:r w:rsidR="006D2E52" w:rsidRPr="001F4999">
        <w:rPr>
          <w:rFonts w:ascii="Times New Roman" w:eastAsia="Times New Roman" w:hAnsi="Times New Roman" w:cs="Times New Roman"/>
          <w:lang w:val="en"/>
        </w:rPr>
        <w:t xml:space="preserve">for </w:t>
      </w:r>
      <w:r w:rsidR="00B321D6" w:rsidRPr="001F4999">
        <w:rPr>
          <w:rFonts w:ascii="Times New Roman" w:eastAsia="Times New Roman" w:hAnsi="Times New Roman" w:cs="Times New Roman"/>
          <w:lang w:val="en"/>
        </w:rPr>
        <w:t xml:space="preserve">Older Adults </w:t>
      </w:r>
      <w:r w:rsidR="006D2907" w:rsidRPr="001F4999">
        <w:rPr>
          <w:rFonts w:ascii="Times New Roman" w:eastAsia="Times New Roman" w:hAnsi="Times New Roman" w:cs="Times New Roman"/>
          <w:lang w:val="en"/>
        </w:rPr>
        <w:t>through</w:t>
      </w:r>
      <w:r w:rsidR="00B321D6" w:rsidRPr="001F4999">
        <w:rPr>
          <w:rFonts w:ascii="Times New Roman" w:eastAsia="Times New Roman" w:hAnsi="Times New Roman" w:cs="Times New Roman"/>
          <w:lang w:val="en"/>
        </w:rPr>
        <w:t xml:space="preserve"> Effective Diet </w:t>
      </w:r>
      <w:r w:rsidR="006D2E52" w:rsidRPr="001F4999">
        <w:rPr>
          <w:rFonts w:ascii="Times New Roman" w:eastAsia="Times New Roman" w:hAnsi="Times New Roman" w:cs="Times New Roman"/>
          <w:lang w:val="en"/>
        </w:rPr>
        <w:t xml:space="preserve">and </w:t>
      </w:r>
      <w:r w:rsidR="00B321D6" w:rsidRPr="001F4999">
        <w:rPr>
          <w:rFonts w:ascii="Times New Roman" w:eastAsia="Times New Roman" w:hAnsi="Times New Roman" w:cs="Times New Roman"/>
          <w:lang w:val="en"/>
        </w:rPr>
        <w:t xml:space="preserve">Activity Modifications </w:t>
      </w:r>
      <w:r w:rsidR="00A41565" w:rsidRPr="001F4999">
        <w:rPr>
          <w:rFonts w:ascii="Times New Roman" w:eastAsia="Times New Roman" w:hAnsi="Times New Roman" w:cs="Times New Roman"/>
          <w:lang w:val="en"/>
        </w:rPr>
        <w:t>mul</w:t>
      </w:r>
      <w:r w:rsidR="00FE18D3" w:rsidRPr="001F4999">
        <w:rPr>
          <w:rFonts w:ascii="Times New Roman" w:eastAsia="Times New Roman" w:hAnsi="Times New Roman" w:cs="Times New Roman"/>
          <w:lang w:val="en"/>
        </w:rPr>
        <w:t>ti</w:t>
      </w:r>
      <w:r w:rsidR="00A41565" w:rsidRPr="001F4999">
        <w:rPr>
          <w:rFonts w:ascii="Times New Roman" w:eastAsia="Times New Roman" w:hAnsi="Times New Roman" w:cs="Times New Roman"/>
          <w:lang w:val="en"/>
        </w:rPr>
        <w:t>state project</w:t>
      </w:r>
      <w:r w:rsidR="006D2E52" w:rsidRPr="001F4999">
        <w:rPr>
          <w:rFonts w:ascii="Times New Roman" w:hAnsi="Times New Roman" w:cs="Times New Roman"/>
        </w:rPr>
        <w:t xml:space="preserve"> is that the current team is comprised of </w:t>
      </w:r>
      <w:r w:rsidR="005E001A" w:rsidRPr="001F4999">
        <w:rPr>
          <w:rFonts w:ascii="Times New Roman" w:hAnsi="Times New Roman" w:cs="Times New Roman"/>
        </w:rPr>
        <w:t xml:space="preserve">molecular biologists, </w:t>
      </w:r>
      <w:r w:rsidR="006D2E52" w:rsidRPr="001F4999">
        <w:rPr>
          <w:rFonts w:ascii="Times New Roman" w:hAnsi="Times New Roman" w:cs="Times New Roman"/>
        </w:rPr>
        <w:t xml:space="preserve">nutritional scientists, sociologists, anthropologists, </w:t>
      </w:r>
      <w:r w:rsidR="001D44AD" w:rsidRPr="001F4999">
        <w:rPr>
          <w:rFonts w:ascii="Times New Roman" w:hAnsi="Times New Roman" w:cs="Times New Roman"/>
        </w:rPr>
        <w:t>registered dietitian nutritionists</w:t>
      </w:r>
      <w:r w:rsidR="006D2E52" w:rsidRPr="001F4999">
        <w:rPr>
          <w:rFonts w:ascii="Times New Roman" w:hAnsi="Times New Roman" w:cs="Times New Roman"/>
        </w:rPr>
        <w:t>, exercise physiologists, and Extension researchers. Having a broad interdisciplinary team provides an opportunity for innovative collaborative translational work. Translational research is key to fundable, comp</w:t>
      </w:r>
      <w:r w:rsidR="00522BB6" w:rsidRPr="001F4999">
        <w:rPr>
          <w:rFonts w:ascii="Times New Roman" w:hAnsi="Times New Roman" w:cs="Times New Roman"/>
        </w:rPr>
        <w:t>rehensive nutritional research.</w:t>
      </w:r>
    </w:p>
    <w:p w14:paraId="50E5B6F9" w14:textId="14449967" w:rsidR="00522BB6" w:rsidRPr="001F4999" w:rsidRDefault="006D2E52" w:rsidP="002C38B5">
      <w:pPr>
        <w:spacing w:after="0" w:line="240" w:lineRule="auto"/>
        <w:ind w:firstLine="720"/>
        <w:rPr>
          <w:rFonts w:ascii="Times New Roman" w:eastAsia="Times New Roman" w:hAnsi="Times New Roman" w:cs="Times New Roman"/>
          <w:lang w:val="en"/>
        </w:rPr>
      </w:pPr>
      <w:r w:rsidRPr="001F4999">
        <w:rPr>
          <w:rFonts w:ascii="Times New Roman" w:hAnsi="Times New Roman" w:cs="Times New Roman"/>
        </w:rPr>
        <w:t xml:space="preserve">Our work since </w:t>
      </w:r>
      <w:r w:rsidR="004E51F0" w:rsidRPr="001F4999">
        <w:rPr>
          <w:rFonts w:ascii="Times New Roman" w:hAnsi="Times New Roman" w:cs="Times New Roman"/>
        </w:rPr>
        <w:t>October</w:t>
      </w:r>
      <w:r w:rsidR="00E22636" w:rsidRPr="001F4999">
        <w:rPr>
          <w:rFonts w:ascii="Times New Roman" w:eastAsia="Times New Roman" w:hAnsi="Times New Roman" w:cs="Times New Roman"/>
          <w:lang w:val="en"/>
        </w:rPr>
        <w:t xml:space="preserve"> 2014 </w:t>
      </w:r>
      <w:r w:rsidRPr="001F4999">
        <w:rPr>
          <w:rFonts w:ascii="Times New Roman" w:eastAsia="Times New Roman" w:hAnsi="Times New Roman" w:cs="Times New Roman"/>
          <w:lang w:val="en"/>
        </w:rPr>
        <w:t>has</w:t>
      </w:r>
      <w:r w:rsidR="00E22636" w:rsidRPr="001F4999">
        <w:rPr>
          <w:rFonts w:ascii="Times New Roman" w:eastAsia="Times New Roman" w:hAnsi="Times New Roman" w:cs="Times New Roman"/>
          <w:lang w:val="en"/>
        </w:rPr>
        <w:t xml:space="preserve"> </w:t>
      </w:r>
      <w:r w:rsidR="002D640B" w:rsidRPr="001F4999">
        <w:rPr>
          <w:rFonts w:ascii="Times New Roman" w:eastAsia="Times New Roman" w:hAnsi="Times New Roman" w:cs="Times New Roman"/>
          <w:lang w:val="en"/>
        </w:rPr>
        <w:t xml:space="preserve">focused on three research areas including </w:t>
      </w:r>
      <w:r w:rsidR="00E22636" w:rsidRPr="001F4999">
        <w:rPr>
          <w:rFonts w:ascii="Times New Roman" w:eastAsia="Times New Roman" w:hAnsi="Times New Roman" w:cs="Times New Roman"/>
          <w:lang w:val="en"/>
        </w:rPr>
        <w:t>m</w:t>
      </w:r>
      <w:r w:rsidR="002D640B" w:rsidRPr="001F4999">
        <w:rPr>
          <w:rFonts w:ascii="Times New Roman" w:eastAsia="Times New Roman" w:hAnsi="Times New Roman" w:cs="Times New Roman"/>
          <w:lang w:val="en"/>
        </w:rPr>
        <w:t>olecular and mechanistic understanding of age-related diseases, environmental assessment, and lifestyle needs assessments and interventions.</w:t>
      </w:r>
      <w:r w:rsidR="00E22636" w:rsidRPr="001F4999">
        <w:rPr>
          <w:rFonts w:ascii="Times New Roman" w:eastAsia="Times New Roman" w:hAnsi="Times New Roman" w:cs="Times New Roman"/>
          <w:lang w:val="en"/>
        </w:rPr>
        <w:t xml:space="preserve"> </w:t>
      </w:r>
      <w:r w:rsidR="00522BB6" w:rsidRPr="001F4999">
        <w:rPr>
          <w:rFonts w:ascii="Times New Roman" w:eastAsia="Times New Roman" w:hAnsi="Times New Roman" w:cs="Times New Roman"/>
          <w:lang w:val="en"/>
        </w:rPr>
        <w:t>Collectively</w:t>
      </w:r>
      <w:r w:rsidR="007356D0" w:rsidRPr="001F4999">
        <w:rPr>
          <w:rFonts w:ascii="Times New Roman" w:eastAsia="Times New Roman" w:hAnsi="Times New Roman" w:cs="Times New Roman"/>
          <w:lang w:val="en"/>
        </w:rPr>
        <w:t>,</w:t>
      </w:r>
      <w:r w:rsidR="00522BB6" w:rsidRPr="001F4999">
        <w:rPr>
          <w:rFonts w:ascii="Times New Roman" w:eastAsia="Times New Roman" w:hAnsi="Times New Roman" w:cs="Times New Roman"/>
          <w:lang w:val="en"/>
        </w:rPr>
        <w:t xml:space="preserve"> we have secured </w:t>
      </w:r>
      <w:r w:rsidR="00AD3326" w:rsidRPr="001F4999">
        <w:rPr>
          <w:rFonts w:ascii="Times New Roman" w:eastAsia="Times New Roman" w:hAnsi="Times New Roman" w:cs="Times New Roman"/>
          <w:lang w:val="en"/>
        </w:rPr>
        <w:t xml:space="preserve">more than </w:t>
      </w:r>
      <w:r w:rsidR="00522BB6" w:rsidRPr="001F4999">
        <w:rPr>
          <w:rFonts w:ascii="Times New Roman" w:eastAsia="Times New Roman" w:hAnsi="Times New Roman" w:cs="Times New Roman"/>
          <w:lang w:val="en"/>
        </w:rPr>
        <w:t>$</w:t>
      </w:r>
      <w:r w:rsidR="00AD3326" w:rsidRPr="001F4999">
        <w:rPr>
          <w:rFonts w:ascii="Times New Roman" w:eastAsia="Times New Roman" w:hAnsi="Times New Roman" w:cs="Times New Roman"/>
          <w:lang w:val="en"/>
        </w:rPr>
        <w:t>750,000</w:t>
      </w:r>
      <w:r w:rsidR="00053151" w:rsidRPr="001F4999">
        <w:rPr>
          <w:rFonts w:ascii="Times New Roman" w:eastAsia="Times New Roman" w:hAnsi="Times New Roman" w:cs="Times New Roman"/>
          <w:lang w:val="en"/>
        </w:rPr>
        <w:t xml:space="preserve"> in funding</w:t>
      </w:r>
      <w:r w:rsidR="00522BB6" w:rsidRPr="001F4999">
        <w:rPr>
          <w:rFonts w:ascii="Times New Roman" w:eastAsia="Times New Roman" w:hAnsi="Times New Roman" w:cs="Times New Roman"/>
          <w:lang w:val="en"/>
        </w:rPr>
        <w:t xml:space="preserve">, published </w:t>
      </w:r>
      <w:r w:rsidR="00AD3326" w:rsidRPr="001F4999">
        <w:rPr>
          <w:rFonts w:ascii="Times New Roman" w:eastAsia="Times New Roman" w:hAnsi="Times New Roman" w:cs="Times New Roman"/>
          <w:lang w:val="en"/>
        </w:rPr>
        <w:t>39</w:t>
      </w:r>
      <w:r w:rsidR="00522BB6" w:rsidRPr="001F4999">
        <w:rPr>
          <w:rFonts w:ascii="Times New Roman" w:eastAsia="Times New Roman" w:hAnsi="Times New Roman" w:cs="Times New Roman"/>
          <w:lang w:val="en"/>
        </w:rPr>
        <w:t xml:space="preserve"> peer-reviewed manuscripts (</w:t>
      </w:r>
      <w:r w:rsidR="007356D0" w:rsidRPr="001F4999">
        <w:rPr>
          <w:rFonts w:ascii="Times New Roman" w:eastAsia="Times New Roman" w:hAnsi="Times New Roman" w:cs="Times New Roman"/>
          <w:lang w:val="en"/>
        </w:rPr>
        <w:t>4</w:t>
      </w:r>
      <w:r w:rsidR="00522BB6" w:rsidRPr="001F4999">
        <w:rPr>
          <w:rFonts w:ascii="Times New Roman" w:eastAsia="Times New Roman" w:hAnsi="Times New Roman" w:cs="Times New Roman"/>
          <w:lang w:val="en"/>
        </w:rPr>
        <w:t xml:space="preserve"> join</w:t>
      </w:r>
      <w:r w:rsidR="007356D0" w:rsidRPr="001F4999">
        <w:rPr>
          <w:rFonts w:ascii="Times New Roman" w:eastAsia="Times New Roman" w:hAnsi="Times New Roman" w:cs="Times New Roman"/>
          <w:lang w:val="en"/>
        </w:rPr>
        <w:t>t</w:t>
      </w:r>
      <w:r w:rsidR="00522BB6" w:rsidRPr="001F4999">
        <w:rPr>
          <w:rFonts w:ascii="Times New Roman" w:eastAsia="Times New Roman" w:hAnsi="Times New Roman" w:cs="Times New Roman"/>
          <w:lang w:val="en"/>
        </w:rPr>
        <w:t xml:space="preserve"> publications), trained </w:t>
      </w:r>
      <w:r w:rsidR="007356D0" w:rsidRPr="001F4999">
        <w:rPr>
          <w:rFonts w:ascii="Times New Roman" w:eastAsia="Times New Roman" w:hAnsi="Times New Roman" w:cs="Times New Roman"/>
          <w:lang w:val="en"/>
        </w:rPr>
        <w:t>66</w:t>
      </w:r>
      <w:r w:rsidR="00522BB6" w:rsidRPr="001F4999">
        <w:rPr>
          <w:rFonts w:ascii="Times New Roman" w:eastAsia="Times New Roman" w:hAnsi="Times New Roman" w:cs="Times New Roman"/>
          <w:lang w:val="en"/>
        </w:rPr>
        <w:t xml:space="preserve"> undergraduate</w:t>
      </w:r>
      <w:r w:rsidR="007356D0" w:rsidRPr="001F4999">
        <w:rPr>
          <w:rFonts w:ascii="Times New Roman" w:eastAsia="Times New Roman" w:hAnsi="Times New Roman" w:cs="Times New Roman"/>
          <w:lang w:val="en"/>
        </w:rPr>
        <w:t xml:space="preserve"> students</w:t>
      </w:r>
      <w:r w:rsidR="00522BB6" w:rsidRPr="001F4999">
        <w:rPr>
          <w:rFonts w:ascii="Times New Roman" w:eastAsia="Times New Roman" w:hAnsi="Times New Roman" w:cs="Times New Roman"/>
          <w:lang w:val="en"/>
        </w:rPr>
        <w:t xml:space="preserve">, </w:t>
      </w:r>
      <w:r w:rsidR="007356D0" w:rsidRPr="001F4999">
        <w:rPr>
          <w:rFonts w:ascii="Times New Roman" w:eastAsia="Times New Roman" w:hAnsi="Times New Roman" w:cs="Times New Roman"/>
          <w:lang w:val="en"/>
        </w:rPr>
        <w:t>50 graduat</w:t>
      </w:r>
      <w:r w:rsidR="00522BB6" w:rsidRPr="001F4999">
        <w:rPr>
          <w:rFonts w:ascii="Times New Roman" w:eastAsia="Times New Roman" w:hAnsi="Times New Roman" w:cs="Times New Roman"/>
          <w:lang w:val="en"/>
        </w:rPr>
        <w:t>e</w:t>
      </w:r>
      <w:r w:rsidR="007356D0" w:rsidRPr="001F4999">
        <w:rPr>
          <w:rFonts w:ascii="Times New Roman" w:eastAsia="Times New Roman" w:hAnsi="Times New Roman" w:cs="Times New Roman"/>
          <w:lang w:val="en"/>
        </w:rPr>
        <w:t xml:space="preserve"> students, </w:t>
      </w:r>
      <w:r w:rsidR="005E1728" w:rsidRPr="001F4999">
        <w:rPr>
          <w:rFonts w:ascii="Times New Roman" w:eastAsia="Times New Roman" w:hAnsi="Times New Roman" w:cs="Times New Roman"/>
          <w:lang w:val="en"/>
        </w:rPr>
        <w:t xml:space="preserve">and </w:t>
      </w:r>
      <w:r w:rsidR="007356D0" w:rsidRPr="001F4999">
        <w:rPr>
          <w:rFonts w:ascii="Times New Roman" w:eastAsia="Times New Roman" w:hAnsi="Times New Roman" w:cs="Times New Roman"/>
          <w:lang w:val="en"/>
        </w:rPr>
        <w:t>2</w:t>
      </w:r>
      <w:r w:rsidR="00522BB6" w:rsidRPr="001F4999">
        <w:rPr>
          <w:rFonts w:ascii="Times New Roman" w:eastAsia="Times New Roman" w:hAnsi="Times New Roman" w:cs="Times New Roman"/>
          <w:lang w:val="en"/>
        </w:rPr>
        <w:t xml:space="preserve"> post-doctoral research associate</w:t>
      </w:r>
      <w:r w:rsidR="007356D0" w:rsidRPr="001F4999">
        <w:rPr>
          <w:rFonts w:ascii="Times New Roman" w:eastAsia="Times New Roman" w:hAnsi="Times New Roman" w:cs="Times New Roman"/>
          <w:lang w:val="en"/>
        </w:rPr>
        <w:t>s</w:t>
      </w:r>
      <w:r w:rsidR="00CA23F5" w:rsidRPr="001F4999">
        <w:rPr>
          <w:rFonts w:ascii="Times New Roman" w:eastAsia="Times New Roman" w:hAnsi="Times New Roman" w:cs="Times New Roman"/>
          <w:lang w:val="en"/>
        </w:rPr>
        <w:t>,</w:t>
      </w:r>
      <w:r w:rsidR="007356D0" w:rsidRPr="001F4999">
        <w:rPr>
          <w:rFonts w:ascii="Times New Roman" w:eastAsia="Times New Roman" w:hAnsi="Times New Roman" w:cs="Times New Roman"/>
          <w:lang w:val="en"/>
        </w:rPr>
        <w:t xml:space="preserve"> </w:t>
      </w:r>
      <w:r w:rsidR="00522BB6" w:rsidRPr="001F4999">
        <w:rPr>
          <w:rFonts w:ascii="Times New Roman" w:eastAsia="Times New Roman" w:hAnsi="Times New Roman" w:cs="Times New Roman"/>
          <w:lang w:val="en"/>
        </w:rPr>
        <w:t xml:space="preserve">and </w:t>
      </w:r>
      <w:r w:rsidR="002C3A48" w:rsidRPr="001F4999">
        <w:rPr>
          <w:rFonts w:ascii="Times New Roman" w:eastAsia="Times New Roman" w:hAnsi="Times New Roman" w:cs="Times New Roman"/>
          <w:lang w:val="en"/>
        </w:rPr>
        <w:t xml:space="preserve">developed </w:t>
      </w:r>
      <w:r w:rsidR="00E837D4" w:rsidRPr="001F4999">
        <w:rPr>
          <w:rFonts w:ascii="Times New Roman" w:eastAsia="Times New Roman" w:hAnsi="Times New Roman" w:cs="Times New Roman"/>
          <w:lang w:val="en"/>
        </w:rPr>
        <w:t xml:space="preserve">various Extension resources, including a </w:t>
      </w:r>
      <w:r w:rsidR="007356D0" w:rsidRPr="001F4999">
        <w:rPr>
          <w:rFonts w:ascii="Times New Roman" w:eastAsia="Times New Roman" w:hAnsi="Times New Roman" w:cs="Times New Roman"/>
          <w:lang w:val="en"/>
        </w:rPr>
        <w:t>four-module Extension healthy aging curriculum</w:t>
      </w:r>
      <w:r w:rsidR="00B321D6" w:rsidRPr="001F4999">
        <w:rPr>
          <w:rFonts w:ascii="Times New Roman" w:eastAsia="Times New Roman" w:hAnsi="Times New Roman" w:cs="Times New Roman"/>
          <w:lang w:val="en"/>
        </w:rPr>
        <w:t xml:space="preserve"> (</w:t>
      </w:r>
      <w:r w:rsidR="00602666" w:rsidRPr="001F4999">
        <w:rPr>
          <w:rFonts w:ascii="Times New Roman" w:eastAsia="Times New Roman" w:hAnsi="Times New Roman" w:cs="Times New Roman"/>
          <w:lang w:val="en"/>
        </w:rPr>
        <w:t xml:space="preserve">For more information, </w:t>
      </w:r>
      <w:hyperlink r:id="rId8" w:history="1">
        <w:r w:rsidR="00F66BE6" w:rsidRPr="001F4999">
          <w:rPr>
            <w:rStyle w:val="Hyperlink"/>
            <w:rFonts w:ascii="Times New Roman" w:eastAsia="Times New Roman" w:hAnsi="Times New Roman" w:cs="Times New Roman"/>
            <w:lang w:val="en"/>
          </w:rPr>
          <w:t>https://www.nimss.org/meetings/project/15898</w:t>
        </w:r>
      </w:hyperlink>
      <w:r w:rsidR="00F66BE6" w:rsidRPr="001F4999">
        <w:rPr>
          <w:rFonts w:ascii="Times New Roman" w:eastAsia="Times New Roman" w:hAnsi="Times New Roman" w:cs="Times New Roman"/>
          <w:lang w:val="en"/>
        </w:rPr>
        <w:t xml:space="preserve">). </w:t>
      </w:r>
      <w:r w:rsidR="00B321D6" w:rsidRPr="001F4999">
        <w:rPr>
          <w:rFonts w:ascii="Times New Roman" w:eastAsia="Times New Roman" w:hAnsi="Times New Roman" w:cs="Times New Roman"/>
          <w:lang w:val="en"/>
        </w:rPr>
        <w:t xml:space="preserve">  </w:t>
      </w:r>
    </w:p>
    <w:p w14:paraId="38C06D27" w14:textId="37433833" w:rsidR="006D2E52" w:rsidRPr="001F4999" w:rsidRDefault="00371154" w:rsidP="002C38B5">
      <w:pPr>
        <w:spacing w:after="0" w:line="240" w:lineRule="auto"/>
        <w:ind w:firstLine="720"/>
        <w:rPr>
          <w:rFonts w:ascii="Times New Roman" w:hAnsi="Times New Roman" w:cs="Times New Roman"/>
        </w:rPr>
      </w:pPr>
      <w:r w:rsidRPr="001F4999">
        <w:rPr>
          <w:rFonts w:ascii="Times New Roman" w:eastAsia="Times New Roman" w:hAnsi="Times New Roman" w:cs="Times New Roman"/>
          <w:lang w:val="en"/>
        </w:rPr>
        <w:t xml:space="preserve">Given the diversity of the work being completed, the resulting projects have been a blend of individual state projects and collaborative </w:t>
      </w:r>
      <w:r w:rsidR="006D2E52" w:rsidRPr="001F4999">
        <w:rPr>
          <w:rFonts w:ascii="Times New Roman" w:eastAsia="Times New Roman" w:hAnsi="Times New Roman" w:cs="Times New Roman"/>
          <w:lang w:val="en"/>
        </w:rPr>
        <w:t xml:space="preserve">multistate </w:t>
      </w:r>
      <w:r w:rsidRPr="001F4999">
        <w:rPr>
          <w:rFonts w:ascii="Times New Roman" w:eastAsia="Times New Roman" w:hAnsi="Times New Roman" w:cs="Times New Roman"/>
          <w:lang w:val="en"/>
        </w:rPr>
        <w:t xml:space="preserve">efforts. </w:t>
      </w:r>
      <w:r w:rsidR="005E001A" w:rsidRPr="001F4999">
        <w:rPr>
          <w:rFonts w:ascii="Times New Roman" w:eastAsia="Times New Roman" w:hAnsi="Times New Roman" w:cs="Times New Roman"/>
          <w:lang w:val="en"/>
        </w:rPr>
        <w:t xml:space="preserve">For example, Dr. Belden adapted a PCR-based telomere length assay (a marker for cellular aging) similar to the one used in the NHANES national survey </w:t>
      </w:r>
      <w:r w:rsidR="006E47A1" w:rsidRPr="001F4999">
        <w:rPr>
          <w:rFonts w:ascii="Times New Roman" w:eastAsia="Times New Roman" w:hAnsi="Times New Roman" w:cs="Times New Roman"/>
          <w:vertAlign w:val="superscript"/>
          <w:lang w:val="en"/>
        </w:rPr>
        <w:t>11</w:t>
      </w:r>
      <w:r w:rsidR="005E001A" w:rsidRPr="001F4999">
        <w:rPr>
          <w:rFonts w:ascii="Times New Roman" w:eastAsia="Times New Roman" w:hAnsi="Times New Roman" w:cs="Times New Roman"/>
          <w:lang w:val="en"/>
        </w:rPr>
        <w:t xml:space="preserve">. This initial project involved only Rutgers University (Rutgers) students and faculty. </w:t>
      </w:r>
      <w:r w:rsidR="00D30E5D" w:rsidRPr="001F4999">
        <w:rPr>
          <w:rFonts w:ascii="Times New Roman" w:eastAsia="Times New Roman" w:hAnsi="Times New Roman" w:cs="Times New Roman"/>
          <w:lang w:val="en"/>
        </w:rPr>
        <w:t>Following this assay adaption,</w:t>
      </w:r>
      <w:r w:rsidRPr="001F4999">
        <w:rPr>
          <w:rFonts w:ascii="Times New Roman" w:eastAsia="Times New Roman" w:hAnsi="Times New Roman" w:cs="Times New Roman"/>
          <w:lang w:val="en"/>
        </w:rPr>
        <w:t xml:space="preserve"> Dr. </w:t>
      </w:r>
      <w:r w:rsidR="002C3A48" w:rsidRPr="001F4999">
        <w:rPr>
          <w:rFonts w:ascii="Times New Roman" w:eastAsia="Times New Roman" w:hAnsi="Times New Roman" w:cs="Times New Roman"/>
          <w:lang w:val="en"/>
        </w:rPr>
        <w:t>Ventura-Marra</w:t>
      </w:r>
      <w:r w:rsidRPr="001F4999">
        <w:rPr>
          <w:rFonts w:ascii="Times New Roman" w:eastAsia="Times New Roman" w:hAnsi="Times New Roman" w:cs="Times New Roman"/>
          <w:lang w:val="en"/>
        </w:rPr>
        <w:t xml:space="preserve"> (West Virginia University</w:t>
      </w:r>
      <w:r w:rsidR="002C3A48" w:rsidRPr="001F4999">
        <w:rPr>
          <w:rFonts w:ascii="Times New Roman" w:eastAsia="Times New Roman" w:hAnsi="Times New Roman" w:cs="Times New Roman"/>
          <w:lang w:val="en"/>
        </w:rPr>
        <w:t xml:space="preserve"> [WVU]</w:t>
      </w:r>
      <w:r w:rsidRPr="001F4999">
        <w:rPr>
          <w:rFonts w:ascii="Times New Roman" w:eastAsia="Times New Roman" w:hAnsi="Times New Roman" w:cs="Times New Roman"/>
          <w:lang w:val="en"/>
        </w:rPr>
        <w:t xml:space="preserve">) </w:t>
      </w:r>
      <w:r w:rsidR="00D9269E" w:rsidRPr="001F4999">
        <w:rPr>
          <w:rFonts w:ascii="Times New Roman" w:eastAsia="Times New Roman" w:hAnsi="Times New Roman" w:cs="Times New Roman"/>
          <w:lang w:val="en"/>
        </w:rPr>
        <w:t>collaborated</w:t>
      </w:r>
      <w:r w:rsidRPr="001F4999">
        <w:rPr>
          <w:rFonts w:ascii="Times New Roman" w:eastAsia="Times New Roman" w:hAnsi="Times New Roman" w:cs="Times New Roman"/>
          <w:lang w:val="en"/>
        </w:rPr>
        <w:t xml:space="preserve"> with Dr. Belden to perform a </w:t>
      </w:r>
      <w:r w:rsidR="00633FBA" w:rsidRPr="001F4999">
        <w:rPr>
          <w:rFonts w:ascii="Times New Roman" w:eastAsia="Times New Roman" w:hAnsi="Times New Roman" w:cs="Times New Roman"/>
          <w:lang w:val="en"/>
        </w:rPr>
        <w:t>telomere</w:t>
      </w:r>
      <w:r w:rsidRPr="001F4999">
        <w:rPr>
          <w:rFonts w:ascii="Times New Roman" w:eastAsia="Times New Roman" w:hAnsi="Times New Roman" w:cs="Times New Roman"/>
          <w:lang w:val="en"/>
        </w:rPr>
        <w:t xml:space="preserve"> assessment as </w:t>
      </w:r>
      <w:r w:rsidR="00384F35" w:rsidRPr="001F4999">
        <w:rPr>
          <w:rFonts w:ascii="Times New Roman" w:eastAsia="Times New Roman" w:hAnsi="Times New Roman" w:cs="Times New Roman"/>
          <w:lang w:val="en"/>
        </w:rPr>
        <w:t xml:space="preserve">a biological marker of cellular aging as </w:t>
      </w:r>
      <w:r w:rsidRPr="001F4999">
        <w:rPr>
          <w:rFonts w:ascii="Times New Roman" w:eastAsia="Times New Roman" w:hAnsi="Times New Roman" w:cs="Times New Roman"/>
          <w:lang w:val="en"/>
        </w:rPr>
        <w:t xml:space="preserve">part of </w:t>
      </w:r>
      <w:r w:rsidR="00824573" w:rsidRPr="001F4999">
        <w:rPr>
          <w:rFonts w:ascii="Times New Roman" w:eastAsia="Times New Roman" w:hAnsi="Times New Roman" w:cs="Times New Roman"/>
          <w:lang w:val="en"/>
        </w:rPr>
        <w:t>a diet and cardiovascular risk assessment study</w:t>
      </w:r>
      <w:r w:rsidRPr="001F4999">
        <w:rPr>
          <w:rFonts w:ascii="Times New Roman" w:eastAsia="Times New Roman" w:hAnsi="Times New Roman" w:cs="Times New Roman"/>
          <w:lang w:val="en"/>
        </w:rPr>
        <w:t xml:space="preserve">. This </w:t>
      </w:r>
      <w:r w:rsidR="003D0FFC" w:rsidRPr="001F4999">
        <w:rPr>
          <w:rFonts w:ascii="Times New Roman" w:eastAsia="Times New Roman" w:hAnsi="Times New Roman" w:cs="Times New Roman"/>
          <w:lang w:val="en"/>
        </w:rPr>
        <w:t xml:space="preserve">collaborative effort </w:t>
      </w:r>
      <w:r w:rsidRPr="001F4999">
        <w:rPr>
          <w:rFonts w:ascii="Times New Roman" w:eastAsia="Times New Roman" w:hAnsi="Times New Roman" w:cs="Times New Roman"/>
          <w:lang w:val="en"/>
        </w:rPr>
        <w:t xml:space="preserve">provided Dr. </w:t>
      </w:r>
      <w:r w:rsidR="002C3A48" w:rsidRPr="001F4999">
        <w:rPr>
          <w:rFonts w:ascii="Times New Roman" w:eastAsia="Times New Roman" w:hAnsi="Times New Roman" w:cs="Times New Roman"/>
          <w:lang w:val="en"/>
        </w:rPr>
        <w:t>Ventura-Marra</w:t>
      </w:r>
      <w:r w:rsidRPr="001F4999">
        <w:rPr>
          <w:rFonts w:ascii="Times New Roman" w:eastAsia="Times New Roman" w:hAnsi="Times New Roman" w:cs="Times New Roman"/>
          <w:lang w:val="en"/>
        </w:rPr>
        <w:t xml:space="preserve"> with the opportunity to report </w:t>
      </w:r>
      <w:r w:rsidR="00824573" w:rsidRPr="001F4999">
        <w:rPr>
          <w:rFonts w:ascii="Times New Roman" w:eastAsia="Times New Roman" w:hAnsi="Times New Roman" w:cs="Times New Roman"/>
          <w:lang w:val="en"/>
        </w:rPr>
        <w:t xml:space="preserve">include </w:t>
      </w:r>
      <w:r w:rsidRPr="001F4999">
        <w:rPr>
          <w:rFonts w:ascii="Times New Roman" w:eastAsia="Times New Roman" w:hAnsi="Times New Roman" w:cs="Times New Roman"/>
          <w:lang w:val="en"/>
        </w:rPr>
        <w:t xml:space="preserve">objective data </w:t>
      </w:r>
      <w:r w:rsidR="00824573" w:rsidRPr="001F4999">
        <w:rPr>
          <w:rFonts w:ascii="Times New Roman" w:eastAsia="Times New Roman" w:hAnsi="Times New Roman" w:cs="Times New Roman"/>
          <w:lang w:val="en"/>
        </w:rPr>
        <w:t xml:space="preserve">on cellular aging </w:t>
      </w:r>
      <w:r w:rsidRPr="001F4999">
        <w:rPr>
          <w:rFonts w:ascii="Times New Roman" w:eastAsia="Times New Roman" w:hAnsi="Times New Roman" w:cs="Times New Roman"/>
          <w:lang w:val="en"/>
        </w:rPr>
        <w:t>to support the efficacy of</w:t>
      </w:r>
      <w:r w:rsidR="006D2E52" w:rsidRPr="001F4999">
        <w:rPr>
          <w:rFonts w:ascii="Times New Roman" w:eastAsia="Times New Roman" w:hAnsi="Times New Roman" w:cs="Times New Roman"/>
          <w:lang w:val="en"/>
        </w:rPr>
        <w:t xml:space="preserve"> </w:t>
      </w:r>
      <w:r w:rsidR="00A91166" w:rsidRPr="001F4999">
        <w:rPr>
          <w:rFonts w:ascii="Times New Roman" w:eastAsia="Times New Roman" w:hAnsi="Times New Roman" w:cs="Times New Roman"/>
          <w:lang w:val="en"/>
        </w:rPr>
        <w:t>a</w:t>
      </w:r>
      <w:r w:rsidR="006D2E52" w:rsidRPr="001F4999">
        <w:rPr>
          <w:rFonts w:ascii="Times New Roman" w:eastAsia="Times New Roman" w:hAnsi="Times New Roman" w:cs="Times New Roman"/>
          <w:lang w:val="en"/>
        </w:rPr>
        <w:t xml:space="preserve"> lifestyle </w:t>
      </w:r>
      <w:r w:rsidR="00A91166" w:rsidRPr="001F4999">
        <w:rPr>
          <w:rFonts w:ascii="Times New Roman" w:eastAsia="Times New Roman" w:hAnsi="Times New Roman" w:cs="Times New Roman"/>
          <w:lang w:val="en"/>
        </w:rPr>
        <w:t>intervention</w:t>
      </w:r>
      <w:r w:rsidR="006D2E52" w:rsidRPr="001F4999">
        <w:rPr>
          <w:rFonts w:ascii="Times New Roman" w:eastAsia="Times New Roman" w:hAnsi="Times New Roman" w:cs="Times New Roman"/>
          <w:lang w:val="en"/>
        </w:rPr>
        <w:t xml:space="preserve"> </w:t>
      </w:r>
      <w:r w:rsidR="00A41565" w:rsidRPr="001F4999">
        <w:rPr>
          <w:rFonts w:ascii="Times New Roman" w:eastAsia="Times New Roman" w:hAnsi="Times New Roman" w:cs="Times New Roman"/>
          <w:lang w:val="en"/>
        </w:rPr>
        <w:t xml:space="preserve">and </w:t>
      </w:r>
      <w:r w:rsidR="00A91166" w:rsidRPr="001F4999">
        <w:rPr>
          <w:rFonts w:ascii="Times New Roman" w:eastAsia="Times New Roman" w:hAnsi="Times New Roman" w:cs="Times New Roman"/>
          <w:lang w:val="en"/>
        </w:rPr>
        <w:t>allowed</w:t>
      </w:r>
      <w:r w:rsidRPr="001F4999">
        <w:rPr>
          <w:rFonts w:ascii="Times New Roman" w:eastAsia="Times New Roman" w:hAnsi="Times New Roman" w:cs="Times New Roman"/>
          <w:lang w:val="en"/>
        </w:rPr>
        <w:t xml:space="preserve"> Dr. Belden </w:t>
      </w:r>
      <w:r w:rsidR="00A91166" w:rsidRPr="001F4999">
        <w:rPr>
          <w:rFonts w:ascii="Times New Roman" w:eastAsia="Times New Roman" w:hAnsi="Times New Roman" w:cs="Times New Roman"/>
          <w:lang w:val="en"/>
        </w:rPr>
        <w:t>to use the developed</w:t>
      </w:r>
      <w:r w:rsidRPr="001F4999">
        <w:rPr>
          <w:rFonts w:ascii="Times New Roman" w:eastAsia="Times New Roman" w:hAnsi="Times New Roman" w:cs="Times New Roman"/>
          <w:lang w:val="en"/>
        </w:rPr>
        <w:t xml:space="preserve"> assay </w:t>
      </w:r>
      <w:r w:rsidR="00A41565" w:rsidRPr="001F4999">
        <w:rPr>
          <w:rFonts w:ascii="Times New Roman" w:eastAsia="Times New Roman" w:hAnsi="Times New Roman" w:cs="Times New Roman"/>
          <w:lang w:val="en"/>
        </w:rPr>
        <w:t>in a</w:t>
      </w:r>
      <w:r w:rsidRPr="001F4999">
        <w:rPr>
          <w:rFonts w:ascii="Times New Roman" w:eastAsia="Times New Roman" w:hAnsi="Times New Roman" w:cs="Times New Roman"/>
          <w:lang w:val="en"/>
        </w:rPr>
        <w:t xml:space="preserve"> real-world application</w:t>
      </w:r>
      <w:r w:rsidR="006E47A1" w:rsidRPr="001F4999">
        <w:rPr>
          <w:rFonts w:ascii="Times New Roman" w:eastAsia="Times New Roman" w:hAnsi="Times New Roman" w:cs="Times New Roman"/>
          <w:lang w:val="en"/>
        </w:rPr>
        <w:t xml:space="preserve"> </w:t>
      </w:r>
      <w:r w:rsidR="006E47A1" w:rsidRPr="001F4999">
        <w:rPr>
          <w:rFonts w:ascii="Times New Roman" w:hAnsi="Times New Roman" w:cs="Times New Roman"/>
          <w:vertAlign w:val="superscript"/>
        </w:rPr>
        <w:t>40</w:t>
      </w:r>
      <w:r w:rsidRPr="001F4999">
        <w:rPr>
          <w:rFonts w:ascii="Times New Roman" w:eastAsia="Times New Roman" w:hAnsi="Times New Roman" w:cs="Times New Roman"/>
          <w:lang w:val="en"/>
        </w:rPr>
        <w:t xml:space="preserve">. </w:t>
      </w:r>
      <w:r w:rsidR="002C3A48" w:rsidRPr="001F4999">
        <w:rPr>
          <w:rFonts w:ascii="Times New Roman" w:hAnsi="Times New Roman" w:cs="Times New Roman"/>
        </w:rPr>
        <w:t>T</w:t>
      </w:r>
      <w:r w:rsidR="00211907" w:rsidRPr="001F4999">
        <w:rPr>
          <w:rFonts w:ascii="Times New Roman" w:hAnsi="Times New Roman" w:cs="Times New Roman"/>
        </w:rPr>
        <w:t xml:space="preserve">he proposed renewal project </w:t>
      </w:r>
      <w:r w:rsidR="00FE18D3" w:rsidRPr="001F4999">
        <w:rPr>
          <w:rFonts w:ascii="Times New Roman" w:hAnsi="Times New Roman" w:cs="Times New Roman"/>
        </w:rPr>
        <w:t xml:space="preserve">is anticipated to expand on this </w:t>
      </w:r>
      <w:r w:rsidR="002C3A48" w:rsidRPr="001F4999">
        <w:rPr>
          <w:rFonts w:ascii="Times New Roman" w:hAnsi="Times New Roman" w:cs="Times New Roman"/>
        </w:rPr>
        <w:t>type of collaboration.</w:t>
      </w:r>
      <w:r w:rsidR="001D44AD" w:rsidRPr="001F4999">
        <w:rPr>
          <w:rFonts w:ascii="Times New Roman" w:hAnsi="Times New Roman" w:cs="Times New Roman"/>
        </w:rPr>
        <w:t xml:space="preserve"> In addition to their individual foundation experiments, the </w:t>
      </w:r>
      <w:r w:rsidR="00D30E5D" w:rsidRPr="001F4999">
        <w:rPr>
          <w:rFonts w:ascii="Times New Roman" w:hAnsi="Times New Roman" w:cs="Times New Roman"/>
        </w:rPr>
        <w:t xml:space="preserve">molecular biologists and </w:t>
      </w:r>
      <w:r w:rsidR="001D44AD" w:rsidRPr="001F4999">
        <w:rPr>
          <w:rFonts w:ascii="Times New Roman" w:hAnsi="Times New Roman" w:cs="Times New Roman"/>
        </w:rPr>
        <w:t>n</w:t>
      </w:r>
      <w:r w:rsidR="00211907" w:rsidRPr="001F4999">
        <w:rPr>
          <w:rFonts w:ascii="Times New Roman" w:hAnsi="Times New Roman" w:cs="Times New Roman"/>
        </w:rPr>
        <w:t xml:space="preserve">utritional scientists </w:t>
      </w:r>
      <w:r w:rsidR="001D44AD" w:rsidRPr="001F4999">
        <w:rPr>
          <w:rFonts w:ascii="Times New Roman" w:hAnsi="Times New Roman" w:cs="Times New Roman"/>
        </w:rPr>
        <w:t xml:space="preserve">will be involved with select </w:t>
      </w:r>
      <w:r w:rsidR="00211907" w:rsidRPr="001F4999">
        <w:rPr>
          <w:rFonts w:ascii="Times New Roman" w:hAnsi="Times New Roman" w:cs="Times New Roman"/>
        </w:rPr>
        <w:t>intervention studies</w:t>
      </w:r>
      <w:r w:rsidR="00B9627D" w:rsidRPr="001F4999">
        <w:rPr>
          <w:rFonts w:ascii="Times New Roman" w:hAnsi="Times New Roman" w:cs="Times New Roman"/>
        </w:rPr>
        <w:t xml:space="preserve"> to </w:t>
      </w:r>
      <w:r w:rsidR="001D44AD" w:rsidRPr="001F4999">
        <w:rPr>
          <w:rFonts w:ascii="Times New Roman" w:hAnsi="Times New Roman" w:cs="Times New Roman"/>
        </w:rPr>
        <w:t xml:space="preserve">help assess </w:t>
      </w:r>
      <w:r w:rsidR="00B9627D" w:rsidRPr="001F4999">
        <w:rPr>
          <w:rFonts w:ascii="Times New Roman" w:hAnsi="Times New Roman" w:cs="Times New Roman"/>
        </w:rPr>
        <w:t>programming impacts</w:t>
      </w:r>
      <w:r w:rsidR="00D30E5D" w:rsidRPr="001F4999">
        <w:rPr>
          <w:rFonts w:ascii="Times New Roman" w:hAnsi="Times New Roman" w:cs="Times New Roman"/>
        </w:rPr>
        <w:t xml:space="preserve"> by performing </w:t>
      </w:r>
      <w:r w:rsidR="001D44AD" w:rsidRPr="001F4999">
        <w:rPr>
          <w:rFonts w:ascii="Times New Roman" w:hAnsi="Times New Roman" w:cs="Times New Roman"/>
        </w:rPr>
        <w:t>comprehensive dietary analyses</w:t>
      </w:r>
      <w:r w:rsidR="002C3A48" w:rsidRPr="001F4999">
        <w:rPr>
          <w:rFonts w:ascii="Times New Roman" w:hAnsi="Times New Roman" w:cs="Times New Roman"/>
        </w:rPr>
        <w:t>.</w:t>
      </w:r>
      <w:r w:rsidR="00B9627D" w:rsidRPr="001F4999">
        <w:rPr>
          <w:rFonts w:ascii="Times New Roman" w:hAnsi="Times New Roman" w:cs="Times New Roman"/>
        </w:rPr>
        <w:t xml:space="preserve"> </w:t>
      </w:r>
    </w:p>
    <w:p w14:paraId="1B85E27C" w14:textId="4E416FB1" w:rsidR="006D2E52" w:rsidRPr="001F4999" w:rsidRDefault="00371154" w:rsidP="002C38B5">
      <w:pPr>
        <w:spacing w:after="0" w:line="240" w:lineRule="auto"/>
        <w:ind w:firstLine="720"/>
        <w:rPr>
          <w:rFonts w:ascii="Times New Roman" w:eastAsia="Times New Roman" w:hAnsi="Times New Roman" w:cs="Times New Roman"/>
          <w:lang w:val="en"/>
        </w:rPr>
      </w:pPr>
      <w:r w:rsidRPr="001F4999">
        <w:rPr>
          <w:rFonts w:ascii="Times New Roman" w:hAnsi="Times New Roman" w:cs="Times New Roman"/>
        </w:rPr>
        <w:t>Another</w:t>
      </w:r>
      <w:r w:rsidR="00B9627D" w:rsidRPr="001F4999">
        <w:rPr>
          <w:rFonts w:ascii="Times New Roman" w:hAnsi="Times New Roman" w:cs="Times New Roman"/>
        </w:rPr>
        <w:t xml:space="preserve"> example of a</w:t>
      </w:r>
      <w:r w:rsidRPr="001F4999">
        <w:rPr>
          <w:rFonts w:ascii="Times New Roman" w:hAnsi="Times New Roman" w:cs="Times New Roman"/>
        </w:rPr>
        <w:t xml:space="preserve"> project that started as a one-state effort but </w:t>
      </w:r>
      <w:r w:rsidR="006D2E52" w:rsidRPr="001F4999">
        <w:rPr>
          <w:rFonts w:ascii="Times New Roman" w:hAnsi="Times New Roman" w:cs="Times New Roman"/>
        </w:rPr>
        <w:t>expanded to include three other states</w:t>
      </w:r>
      <w:r w:rsidRPr="001F4999">
        <w:rPr>
          <w:rFonts w:ascii="Times New Roman" w:hAnsi="Times New Roman" w:cs="Times New Roman"/>
        </w:rPr>
        <w:t xml:space="preserve"> is </w:t>
      </w:r>
      <w:r w:rsidR="001D44AD" w:rsidRPr="001F4999">
        <w:rPr>
          <w:rFonts w:ascii="Times New Roman" w:hAnsi="Times New Roman" w:cs="Times New Roman"/>
        </w:rPr>
        <w:t xml:space="preserve">our </w:t>
      </w:r>
      <w:r w:rsidR="00A41565" w:rsidRPr="001F4999">
        <w:rPr>
          <w:rFonts w:ascii="Times New Roman" w:hAnsi="Times New Roman" w:cs="Times New Roman"/>
        </w:rPr>
        <w:t xml:space="preserve">produce consumption </w:t>
      </w:r>
      <w:r w:rsidR="00BF6696" w:rsidRPr="001F4999">
        <w:rPr>
          <w:rFonts w:ascii="Times New Roman" w:hAnsi="Times New Roman" w:cs="Times New Roman"/>
        </w:rPr>
        <w:t>environmental</w:t>
      </w:r>
      <w:r w:rsidR="00760D96" w:rsidRPr="001F4999">
        <w:rPr>
          <w:rFonts w:ascii="Times New Roman" w:eastAsia="Times New Roman" w:hAnsi="Times New Roman" w:cs="Times New Roman"/>
          <w:lang w:val="en"/>
        </w:rPr>
        <w:t xml:space="preserve"> assessment </w:t>
      </w:r>
      <w:r w:rsidR="006D2E52" w:rsidRPr="001F4999">
        <w:rPr>
          <w:rFonts w:ascii="Times New Roman" w:eastAsia="Times New Roman" w:hAnsi="Times New Roman" w:cs="Times New Roman"/>
          <w:lang w:val="en"/>
        </w:rPr>
        <w:t>study</w:t>
      </w:r>
      <w:r w:rsidRPr="001F4999">
        <w:rPr>
          <w:rFonts w:ascii="Times New Roman" w:eastAsia="Times New Roman" w:hAnsi="Times New Roman" w:cs="Times New Roman"/>
          <w:lang w:val="en"/>
        </w:rPr>
        <w:t>. Dr. Cohen</w:t>
      </w:r>
      <w:r w:rsidR="006D2E52" w:rsidRPr="001F4999">
        <w:rPr>
          <w:rFonts w:ascii="Times New Roman" w:eastAsia="Times New Roman" w:hAnsi="Times New Roman" w:cs="Times New Roman"/>
          <w:lang w:val="en"/>
        </w:rPr>
        <w:t xml:space="preserve"> (</w:t>
      </w:r>
      <w:r w:rsidRPr="001F4999">
        <w:rPr>
          <w:rFonts w:ascii="Times New Roman" w:eastAsia="Times New Roman" w:hAnsi="Times New Roman" w:cs="Times New Roman"/>
          <w:lang w:val="en"/>
        </w:rPr>
        <w:t>University of Massachusetts</w:t>
      </w:r>
      <w:r w:rsidR="006D2E52" w:rsidRPr="001F4999">
        <w:rPr>
          <w:rFonts w:ascii="Times New Roman" w:eastAsia="Times New Roman" w:hAnsi="Times New Roman" w:cs="Times New Roman"/>
          <w:lang w:val="en"/>
        </w:rPr>
        <w:t xml:space="preserve"> at Amherst</w:t>
      </w:r>
      <w:r w:rsidR="002C3A48" w:rsidRPr="001F4999">
        <w:rPr>
          <w:rFonts w:ascii="Times New Roman" w:eastAsia="Times New Roman" w:hAnsi="Times New Roman" w:cs="Times New Roman"/>
          <w:lang w:val="en"/>
        </w:rPr>
        <w:t xml:space="preserve"> [U</w:t>
      </w:r>
      <w:r w:rsidR="00730281" w:rsidRPr="001F4999">
        <w:rPr>
          <w:rFonts w:ascii="Times New Roman" w:eastAsia="Times New Roman" w:hAnsi="Times New Roman" w:cs="Times New Roman"/>
          <w:lang w:val="en"/>
        </w:rPr>
        <w:t>M</w:t>
      </w:r>
      <w:r w:rsidR="002C3A48" w:rsidRPr="001F4999">
        <w:rPr>
          <w:rFonts w:ascii="Times New Roman" w:eastAsia="Times New Roman" w:hAnsi="Times New Roman" w:cs="Times New Roman"/>
          <w:lang w:val="en"/>
        </w:rPr>
        <w:t>ass]</w:t>
      </w:r>
      <w:r w:rsidR="006D2E52" w:rsidRPr="001F4999">
        <w:rPr>
          <w:rFonts w:ascii="Times New Roman" w:eastAsia="Times New Roman" w:hAnsi="Times New Roman" w:cs="Times New Roman"/>
          <w:lang w:val="en"/>
        </w:rPr>
        <w:t>)</w:t>
      </w:r>
      <w:r w:rsidRPr="001F4999">
        <w:rPr>
          <w:rFonts w:ascii="Times New Roman" w:eastAsia="Times New Roman" w:hAnsi="Times New Roman" w:cs="Times New Roman"/>
          <w:lang w:val="en"/>
        </w:rPr>
        <w:t xml:space="preserve"> began work on creating a </w:t>
      </w:r>
      <w:r w:rsidR="00053151" w:rsidRPr="001F4999">
        <w:rPr>
          <w:rFonts w:ascii="Times New Roman" w:eastAsia="Times New Roman" w:hAnsi="Times New Roman" w:cs="Times New Roman"/>
          <w:lang w:val="en"/>
        </w:rPr>
        <w:t xml:space="preserve">theory-based </w:t>
      </w:r>
      <w:r w:rsidRPr="001F4999">
        <w:rPr>
          <w:rFonts w:ascii="Times New Roman" w:eastAsia="Times New Roman" w:hAnsi="Times New Roman" w:cs="Times New Roman"/>
          <w:lang w:val="en"/>
        </w:rPr>
        <w:t>produce access questionnaire. In order to ensure the applicability</w:t>
      </w:r>
      <w:r w:rsidR="006D2E52" w:rsidRPr="001F4999">
        <w:rPr>
          <w:rFonts w:ascii="Times New Roman" w:eastAsia="Times New Roman" w:hAnsi="Times New Roman" w:cs="Times New Roman"/>
          <w:lang w:val="en"/>
        </w:rPr>
        <w:t xml:space="preserve"> of the tool to different popul</w:t>
      </w:r>
      <w:r w:rsidRPr="001F4999">
        <w:rPr>
          <w:rFonts w:ascii="Times New Roman" w:eastAsia="Times New Roman" w:hAnsi="Times New Roman" w:cs="Times New Roman"/>
          <w:lang w:val="en"/>
        </w:rPr>
        <w:t xml:space="preserve">ations, </w:t>
      </w:r>
      <w:r w:rsidR="006D2E52" w:rsidRPr="001F4999">
        <w:rPr>
          <w:rFonts w:ascii="Times New Roman" w:eastAsia="Times New Roman" w:hAnsi="Times New Roman" w:cs="Times New Roman"/>
          <w:lang w:val="en"/>
        </w:rPr>
        <w:t xml:space="preserve">Dr. Cohen worked with </w:t>
      </w:r>
      <w:r w:rsidR="002C38B5" w:rsidRPr="001F4999">
        <w:rPr>
          <w:rFonts w:ascii="Times New Roman" w:eastAsia="Times New Roman" w:hAnsi="Times New Roman" w:cs="Times New Roman"/>
          <w:lang w:val="en"/>
        </w:rPr>
        <w:t>NE:1439</w:t>
      </w:r>
      <w:r w:rsidRPr="001F4999">
        <w:rPr>
          <w:rFonts w:ascii="Times New Roman" w:eastAsia="Times New Roman" w:hAnsi="Times New Roman" w:cs="Times New Roman"/>
          <w:lang w:val="en"/>
        </w:rPr>
        <w:t xml:space="preserve"> </w:t>
      </w:r>
      <w:r w:rsidRPr="001F4999">
        <w:rPr>
          <w:rFonts w:ascii="Times New Roman" w:eastAsia="Times New Roman" w:hAnsi="Times New Roman" w:cs="Times New Roman"/>
          <w:lang w:val="en"/>
        </w:rPr>
        <w:lastRenderedPageBreak/>
        <w:t>team</w:t>
      </w:r>
      <w:r w:rsidR="00053151" w:rsidRPr="001F4999">
        <w:rPr>
          <w:rFonts w:ascii="Times New Roman" w:eastAsia="Times New Roman" w:hAnsi="Times New Roman" w:cs="Times New Roman"/>
          <w:lang w:val="en"/>
        </w:rPr>
        <w:t xml:space="preserve"> members</w:t>
      </w:r>
      <w:r w:rsidRPr="001F4999">
        <w:rPr>
          <w:rFonts w:ascii="Times New Roman" w:eastAsia="Times New Roman" w:hAnsi="Times New Roman" w:cs="Times New Roman"/>
          <w:lang w:val="en"/>
        </w:rPr>
        <w:t xml:space="preserve"> (</w:t>
      </w:r>
      <w:r w:rsidR="002C3A48" w:rsidRPr="001F4999">
        <w:rPr>
          <w:rFonts w:ascii="Times New Roman" w:eastAsia="Times New Roman" w:hAnsi="Times New Roman" w:cs="Times New Roman"/>
          <w:lang w:val="en"/>
        </w:rPr>
        <w:t xml:space="preserve">Iowa State University [ISU], </w:t>
      </w:r>
      <w:r w:rsidRPr="001F4999">
        <w:rPr>
          <w:rFonts w:ascii="Times New Roman" w:eastAsia="Times New Roman" w:hAnsi="Times New Roman" w:cs="Times New Roman"/>
          <w:lang w:val="en"/>
        </w:rPr>
        <w:t>New York University</w:t>
      </w:r>
      <w:r w:rsidR="002C3A48" w:rsidRPr="001F4999">
        <w:rPr>
          <w:rFonts w:ascii="Times New Roman" w:eastAsia="Times New Roman" w:hAnsi="Times New Roman" w:cs="Times New Roman"/>
          <w:lang w:val="en"/>
        </w:rPr>
        <w:t xml:space="preserve"> [NYU]</w:t>
      </w:r>
      <w:r w:rsidRPr="001F4999">
        <w:rPr>
          <w:rFonts w:ascii="Times New Roman" w:eastAsia="Times New Roman" w:hAnsi="Times New Roman" w:cs="Times New Roman"/>
          <w:lang w:val="en"/>
        </w:rPr>
        <w:t xml:space="preserve">, </w:t>
      </w:r>
      <w:r w:rsidR="002C3A48" w:rsidRPr="001F4999">
        <w:rPr>
          <w:rFonts w:ascii="Times New Roman" w:eastAsia="Times New Roman" w:hAnsi="Times New Roman" w:cs="Times New Roman"/>
          <w:lang w:val="en"/>
        </w:rPr>
        <w:t>and WVU</w:t>
      </w:r>
      <w:r w:rsidRPr="001F4999">
        <w:rPr>
          <w:rFonts w:ascii="Times New Roman" w:eastAsia="Times New Roman" w:hAnsi="Times New Roman" w:cs="Times New Roman"/>
          <w:lang w:val="en"/>
        </w:rPr>
        <w:t xml:space="preserve">) </w:t>
      </w:r>
      <w:r w:rsidR="006D2E52" w:rsidRPr="001F4999">
        <w:rPr>
          <w:rFonts w:ascii="Times New Roman" w:eastAsia="Times New Roman" w:hAnsi="Times New Roman" w:cs="Times New Roman"/>
          <w:lang w:val="en"/>
        </w:rPr>
        <w:t xml:space="preserve">to complete formative </w:t>
      </w:r>
      <w:r w:rsidR="00A41565" w:rsidRPr="001F4999">
        <w:rPr>
          <w:rFonts w:ascii="Times New Roman" w:eastAsia="Times New Roman" w:hAnsi="Times New Roman" w:cs="Times New Roman"/>
          <w:lang w:val="en"/>
        </w:rPr>
        <w:t xml:space="preserve">online </w:t>
      </w:r>
      <w:r w:rsidR="006D2E52" w:rsidRPr="001F4999">
        <w:rPr>
          <w:rFonts w:ascii="Times New Roman" w:eastAsia="Times New Roman" w:hAnsi="Times New Roman" w:cs="Times New Roman"/>
          <w:lang w:val="en"/>
        </w:rPr>
        <w:t>focus groups as well as pilot-test</w:t>
      </w:r>
      <w:r w:rsidRPr="001F4999">
        <w:rPr>
          <w:rFonts w:ascii="Times New Roman" w:eastAsia="Times New Roman" w:hAnsi="Times New Roman" w:cs="Times New Roman"/>
          <w:lang w:val="en"/>
        </w:rPr>
        <w:t xml:space="preserve"> the </w:t>
      </w:r>
      <w:r w:rsidR="006D2E52" w:rsidRPr="001F4999">
        <w:rPr>
          <w:rFonts w:ascii="Times New Roman" w:eastAsia="Times New Roman" w:hAnsi="Times New Roman" w:cs="Times New Roman"/>
          <w:lang w:val="en"/>
        </w:rPr>
        <w:t xml:space="preserve">resulting environmental assessment </w:t>
      </w:r>
      <w:r w:rsidRPr="001F4999">
        <w:rPr>
          <w:rFonts w:ascii="Times New Roman" w:eastAsia="Times New Roman" w:hAnsi="Times New Roman" w:cs="Times New Roman"/>
          <w:lang w:val="en"/>
        </w:rPr>
        <w:t>tool</w:t>
      </w:r>
      <w:r w:rsidR="00206775" w:rsidRPr="001F4999">
        <w:rPr>
          <w:rFonts w:ascii="Times New Roman" w:eastAsia="Times New Roman" w:hAnsi="Times New Roman" w:cs="Times New Roman"/>
          <w:lang w:val="en"/>
        </w:rPr>
        <w:t xml:space="preserve"> (</w:t>
      </w:r>
      <w:r w:rsidR="002C3A48" w:rsidRPr="001F4999">
        <w:rPr>
          <w:rFonts w:ascii="Times New Roman" w:eastAsia="Times New Roman" w:hAnsi="Times New Roman" w:cs="Times New Roman"/>
          <w:lang w:val="en"/>
        </w:rPr>
        <w:t xml:space="preserve">ISU and </w:t>
      </w:r>
      <w:r w:rsidR="00206775" w:rsidRPr="001F4999">
        <w:rPr>
          <w:rFonts w:ascii="Times New Roman" w:eastAsia="Times New Roman" w:hAnsi="Times New Roman" w:cs="Times New Roman"/>
          <w:lang w:val="en"/>
        </w:rPr>
        <w:t xml:space="preserve">University of Illinois-Urbana Champaign </w:t>
      </w:r>
      <w:r w:rsidR="002C3A48" w:rsidRPr="001F4999">
        <w:rPr>
          <w:rFonts w:ascii="Times New Roman" w:eastAsia="Times New Roman" w:hAnsi="Times New Roman" w:cs="Times New Roman"/>
          <w:lang w:val="en"/>
        </w:rPr>
        <w:t>[UIUC]</w:t>
      </w:r>
      <w:r w:rsidR="00206775" w:rsidRPr="001F4999">
        <w:rPr>
          <w:rFonts w:ascii="Times New Roman" w:eastAsia="Times New Roman" w:hAnsi="Times New Roman" w:cs="Times New Roman"/>
          <w:lang w:val="en"/>
        </w:rPr>
        <w:t>)</w:t>
      </w:r>
      <w:r w:rsidRPr="001F4999">
        <w:rPr>
          <w:rFonts w:ascii="Times New Roman" w:eastAsia="Times New Roman" w:hAnsi="Times New Roman" w:cs="Times New Roman"/>
          <w:lang w:val="en"/>
        </w:rPr>
        <w:t>. Th</w:t>
      </w:r>
      <w:r w:rsidR="00730281" w:rsidRPr="001F4999">
        <w:rPr>
          <w:rFonts w:ascii="Times New Roman" w:eastAsia="Times New Roman" w:hAnsi="Times New Roman" w:cs="Times New Roman"/>
          <w:lang w:val="en"/>
        </w:rPr>
        <w:t>ese</w:t>
      </w:r>
      <w:r w:rsidRPr="001F4999">
        <w:rPr>
          <w:rFonts w:ascii="Times New Roman" w:eastAsia="Times New Roman" w:hAnsi="Times New Roman" w:cs="Times New Roman"/>
          <w:lang w:val="en"/>
        </w:rPr>
        <w:t xml:space="preserve"> mul</w:t>
      </w:r>
      <w:r w:rsidR="002C3A48" w:rsidRPr="001F4999">
        <w:rPr>
          <w:rFonts w:ascii="Times New Roman" w:eastAsia="Times New Roman" w:hAnsi="Times New Roman" w:cs="Times New Roman"/>
          <w:lang w:val="en"/>
        </w:rPr>
        <w:t>t</w:t>
      </w:r>
      <w:r w:rsidR="006D2E52" w:rsidRPr="001F4999">
        <w:rPr>
          <w:rFonts w:ascii="Times New Roman" w:eastAsia="Times New Roman" w:hAnsi="Times New Roman" w:cs="Times New Roman"/>
          <w:lang w:val="en"/>
        </w:rPr>
        <w:t>i</w:t>
      </w:r>
      <w:r w:rsidRPr="001F4999">
        <w:rPr>
          <w:rFonts w:ascii="Times New Roman" w:eastAsia="Times New Roman" w:hAnsi="Times New Roman" w:cs="Times New Roman"/>
          <w:lang w:val="en"/>
        </w:rPr>
        <w:t>state collaboration</w:t>
      </w:r>
      <w:r w:rsidR="00730281" w:rsidRPr="001F4999">
        <w:rPr>
          <w:rFonts w:ascii="Times New Roman" w:eastAsia="Times New Roman" w:hAnsi="Times New Roman" w:cs="Times New Roman"/>
          <w:lang w:val="en"/>
        </w:rPr>
        <w:t>s</w:t>
      </w:r>
      <w:r w:rsidRPr="001F4999">
        <w:rPr>
          <w:rFonts w:ascii="Times New Roman" w:eastAsia="Times New Roman" w:hAnsi="Times New Roman" w:cs="Times New Roman"/>
          <w:lang w:val="en"/>
        </w:rPr>
        <w:t xml:space="preserve"> </w:t>
      </w:r>
      <w:r w:rsidR="001D44AD" w:rsidRPr="001F4999">
        <w:rPr>
          <w:rFonts w:ascii="Times New Roman" w:eastAsia="Times New Roman" w:hAnsi="Times New Roman" w:cs="Times New Roman"/>
          <w:lang w:val="en"/>
        </w:rPr>
        <w:t>resulted in ascertaining the p</w:t>
      </w:r>
      <w:r w:rsidR="001D44AD" w:rsidRPr="001F4999">
        <w:rPr>
          <w:rFonts w:ascii="Times New Roman" w:hAnsi="Times New Roman" w:cs="Times New Roman"/>
        </w:rPr>
        <w:t>riorities for health eating in older adults in diverse communities</w:t>
      </w:r>
      <w:r w:rsidR="00206775" w:rsidRPr="001F4999">
        <w:rPr>
          <w:rFonts w:ascii="Times New Roman" w:hAnsi="Times New Roman" w:cs="Times New Roman"/>
        </w:rPr>
        <w:t xml:space="preserve"> </w:t>
      </w:r>
      <w:r w:rsidR="006E47A1" w:rsidRPr="001F4999">
        <w:rPr>
          <w:rFonts w:ascii="Times New Roman" w:eastAsia="Times New Roman" w:hAnsi="Times New Roman" w:cs="Times New Roman"/>
          <w:vertAlign w:val="superscript"/>
          <w:lang w:val="en"/>
        </w:rPr>
        <w:t>33</w:t>
      </w:r>
      <w:r w:rsidR="00206775" w:rsidRPr="001F4999">
        <w:rPr>
          <w:rFonts w:ascii="Times New Roman" w:eastAsia="Times New Roman" w:hAnsi="Times New Roman" w:cs="Times New Roman"/>
          <w:lang w:val="en"/>
        </w:rPr>
        <w:t xml:space="preserve"> and used the resulting survey tool to determine the perceived environmental supports for produce consumption among older adults </w:t>
      </w:r>
      <w:r w:rsidR="006E47A1" w:rsidRPr="001F4999">
        <w:rPr>
          <w:rFonts w:ascii="Times New Roman" w:eastAsia="Times New Roman" w:hAnsi="Times New Roman" w:cs="Times New Roman"/>
          <w:vertAlign w:val="superscript"/>
          <w:lang w:val="en"/>
        </w:rPr>
        <w:t>34</w:t>
      </w:r>
      <w:r w:rsidR="00206775" w:rsidRPr="001F4999">
        <w:rPr>
          <w:rFonts w:ascii="Times New Roman" w:hAnsi="Times New Roman" w:cs="Times New Roman"/>
        </w:rPr>
        <w:t xml:space="preserve">. </w:t>
      </w:r>
      <w:r w:rsidR="00A41565" w:rsidRPr="001F4999">
        <w:rPr>
          <w:rFonts w:ascii="Times New Roman" w:eastAsia="Times New Roman" w:hAnsi="Times New Roman" w:cs="Times New Roman"/>
          <w:lang w:val="en"/>
        </w:rPr>
        <w:t xml:space="preserve">As a result, </w:t>
      </w:r>
      <w:r w:rsidRPr="001F4999">
        <w:rPr>
          <w:rFonts w:ascii="Times New Roman" w:eastAsia="Times New Roman" w:hAnsi="Times New Roman" w:cs="Times New Roman"/>
          <w:lang w:val="en"/>
        </w:rPr>
        <w:t xml:space="preserve">our team </w:t>
      </w:r>
      <w:r w:rsidR="00A41565" w:rsidRPr="001F4999">
        <w:rPr>
          <w:rFonts w:ascii="Times New Roman" w:eastAsia="Times New Roman" w:hAnsi="Times New Roman" w:cs="Times New Roman"/>
          <w:lang w:val="en"/>
        </w:rPr>
        <w:t xml:space="preserve">has a better understanding </w:t>
      </w:r>
      <w:r w:rsidR="00053151" w:rsidRPr="001F4999">
        <w:rPr>
          <w:rFonts w:ascii="Times New Roman" w:eastAsia="Times New Roman" w:hAnsi="Times New Roman" w:cs="Times New Roman"/>
          <w:lang w:val="en"/>
        </w:rPr>
        <w:t xml:space="preserve">of the produce access issues </w:t>
      </w:r>
      <w:r w:rsidR="00384F35" w:rsidRPr="001F4999">
        <w:rPr>
          <w:rFonts w:ascii="Times New Roman" w:eastAsia="Times New Roman" w:hAnsi="Times New Roman" w:cs="Times New Roman"/>
          <w:lang w:val="en"/>
        </w:rPr>
        <w:t xml:space="preserve">facing </w:t>
      </w:r>
      <w:r w:rsidR="00053151" w:rsidRPr="001F4999">
        <w:rPr>
          <w:rFonts w:ascii="Times New Roman" w:eastAsia="Times New Roman" w:hAnsi="Times New Roman" w:cs="Times New Roman"/>
          <w:lang w:val="en"/>
        </w:rPr>
        <w:t>older adults</w:t>
      </w:r>
      <w:r w:rsidR="00384F35" w:rsidRPr="001F4999">
        <w:rPr>
          <w:rFonts w:ascii="Times New Roman" w:eastAsia="Times New Roman" w:hAnsi="Times New Roman" w:cs="Times New Roman"/>
          <w:lang w:val="en"/>
        </w:rPr>
        <w:t xml:space="preserve">. We </w:t>
      </w:r>
      <w:r w:rsidR="00053151" w:rsidRPr="001F4999">
        <w:rPr>
          <w:rFonts w:ascii="Times New Roman" w:eastAsia="Times New Roman" w:hAnsi="Times New Roman" w:cs="Times New Roman"/>
          <w:lang w:val="en"/>
        </w:rPr>
        <w:t>learned h</w:t>
      </w:r>
      <w:r w:rsidRPr="001F4999">
        <w:rPr>
          <w:rFonts w:ascii="Times New Roman" w:eastAsia="Times New Roman" w:hAnsi="Times New Roman" w:cs="Times New Roman"/>
          <w:lang w:val="en"/>
        </w:rPr>
        <w:t>ow</w:t>
      </w:r>
      <w:r w:rsidR="006D2E52" w:rsidRPr="001F4999">
        <w:rPr>
          <w:rFonts w:ascii="Times New Roman" w:eastAsia="Times New Roman" w:hAnsi="Times New Roman" w:cs="Times New Roman"/>
          <w:lang w:val="en"/>
        </w:rPr>
        <w:t xml:space="preserve"> to use technology to conduct qualitative research across state lines</w:t>
      </w:r>
      <w:r w:rsidR="00053151" w:rsidRPr="001F4999">
        <w:rPr>
          <w:rFonts w:ascii="Times New Roman" w:eastAsia="Times New Roman" w:hAnsi="Times New Roman" w:cs="Times New Roman"/>
          <w:lang w:val="en"/>
        </w:rPr>
        <w:t xml:space="preserve">, and </w:t>
      </w:r>
      <w:r w:rsidR="00384F35" w:rsidRPr="001F4999">
        <w:rPr>
          <w:rFonts w:ascii="Times New Roman" w:eastAsia="Times New Roman" w:hAnsi="Times New Roman" w:cs="Times New Roman"/>
          <w:lang w:val="en"/>
        </w:rPr>
        <w:t xml:space="preserve">now </w:t>
      </w:r>
      <w:r w:rsidR="00053151" w:rsidRPr="001F4999">
        <w:rPr>
          <w:rFonts w:ascii="Times New Roman" w:eastAsia="Times New Roman" w:hAnsi="Times New Roman" w:cs="Times New Roman"/>
          <w:lang w:val="en"/>
        </w:rPr>
        <w:t>have a tool that can be used by other team members</w:t>
      </w:r>
      <w:r w:rsidR="006D2E52" w:rsidRPr="001F4999">
        <w:rPr>
          <w:rFonts w:ascii="Times New Roman" w:eastAsia="Times New Roman" w:hAnsi="Times New Roman" w:cs="Times New Roman"/>
          <w:lang w:val="en"/>
        </w:rPr>
        <w:t xml:space="preserve">. </w:t>
      </w:r>
      <w:r w:rsidR="00211907" w:rsidRPr="001F4999">
        <w:rPr>
          <w:rFonts w:ascii="Times New Roman" w:hAnsi="Times New Roman" w:cs="Times New Roman"/>
        </w:rPr>
        <w:t>Further, the inclusion of sociologists and anthropologists</w:t>
      </w:r>
      <w:r w:rsidR="00053151" w:rsidRPr="001F4999">
        <w:rPr>
          <w:rFonts w:ascii="Times New Roman" w:hAnsi="Times New Roman" w:cs="Times New Roman"/>
        </w:rPr>
        <w:t xml:space="preserve"> on our team </w:t>
      </w:r>
      <w:r w:rsidR="00730281" w:rsidRPr="001F4999">
        <w:rPr>
          <w:rFonts w:ascii="Times New Roman" w:hAnsi="Times New Roman" w:cs="Times New Roman"/>
        </w:rPr>
        <w:t xml:space="preserve">in recent years </w:t>
      </w:r>
      <w:r w:rsidR="00053151" w:rsidRPr="001F4999">
        <w:rPr>
          <w:rFonts w:ascii="Times New Roman" w:hAnsi="Times New Roman" w:cs="Times New Roman"/>
        </w:rPr>
        <w:t>has</w:t>
      </w:r>
      <w:r w:rsidR="00211907" w:rsidRPr="001F4999">
        <w:rPr>
          <w:rFonts w:ascii="Times New Roman" w:hAnsi="Times New Roman" w:cs="Times New Roman"/>
        </w:rPr>
        <w:t xml:space="preserve"> enabled our environmental and intervention work to look more holistic</w:t>
      </w:r>
      <w:r w:rsidR="00053151" w:rsidRPr="001F4999">
        <w:rPr>
          <w:rFonts w:ascii="Times New Roman" w:hAnsi="Times New Roman" w:cs="Times New Roman"/>
        </w:rPr>
        <w:t>ally</w:t>
      </w:r>
      <w:r w:rsidR="00211907" w:rsidRPr="001F4999">
        <w:rPr>
          <w:rFonts w:ascii="Times New Roman" w:hAnsi="Times New Roman" w:cs="Times New Roman"/>
        </w:rPr>
        <w:t xml:space="preserve"> at the health and well-being of older adults. We anticipate expanding on this work by including more quality of life ass</w:t>
      </w:r>
      <w:r w:rsidR="00206775" w:rsidRPr="001F4999">
        <w:rPr>
          <w:rFonts w:ascii="Times New Roman" w:hAnsi="Times New Roman" w:cs="Times New Roman"/>
        </w:rPr>
        <w:t>essment tools during our studies</w:t>
      </w:r>
      <w:r w:rsidR="00211907" w:rsidRPr="001F4999">
        <w:rPr>
          <w:rFonts w:ascii="Times New Roman" w:hAnsi="Times New Roman" w:cs="Times New Roman"/>
        </w:rPr>
        <w:t>.</w:t>
      </w:r>
    </w:p>
    <w:p w14:paraId="647EB8EB" w14:textId="16E71A51" w:rsidR="00DF4381" w:rsidRPr="001F4999" w:rsidRDefault="00211907" w:rsidP="002C38B5">
      <w:pPr>
        <w:spacing w:after="0" w:line="240" w:lineRule="auto"/>
        <w:ind w:firstLine="720"/>
        <w:rPr>
          <w:rFonts w:ascii="Times New Roman" w:hAnsi="Times New Roman" w:cs="Times New Roman"/>
        </w:rPr>
      </w:pPr>
      <w:r w:rsidRPr="001F4999">
        <w:rPr>
          <w:rFonts w:ascii="Times New Roman" w:hAnsi="Times New Roman" w:cs="Times New Roman"/>
        </w:rPr>
        <w:t>Multistate research projects offer many benefits including working across state lines to</w:t>
      </w:r>
      <w:r w:rsidR="002C3A48" w:rsidRPr="001F4999">
        <w:rPr>
          <w:rFonts w:ascii="Times New Roman" w:hAnsi="Times New Roman" w:cs="Times New Roman"/>
        </w:rPr>
        <w:t xml:space="preserve"> evaluate the efficacy and impact of lifestyle interventions among diverse audiences.</w:t>
      </w:r>
      <w:r w:rsidRPr="001F4999">
        <w:rPr>
          <w:rFonts w:ascii="Times New Roman" w:hAnsi="Times New Roman" w:cs="Times New Roman"/>
        </w:rPr>
        <w:t xml:space="preserve"> However, a challenge is that in order for an intervention to be effective it must be focused on the needs and preferences of the target audience. This means the approach utilized by each state may</w:t>
      </w:r>
      <w:r w:rsidR="00C4237F" w:rsidRPr="001F4999">
        <w:rPr>
          <w:rFonts w:ascii="Times New Roman" w:hAnsi="Times New Roman" w:cs="Times New Roman"/>
        </w:rPr>
        <w:t xml:space="preserve"> need to </w:t>
      </w:r>
      <w:r w:rsidRPr="001F4999">
        <w:rPr>
          <w:rFonts w:ascii="Times New Roman" w:hAnsi="Times New Roman" w:cs="Times New Roman"/>
        </w:rPr>
        <w:t xml:space="preserve">differ. </w:t>
      </w:r>
      <w:r w:rsidR="00C4237F" w:rsidRPr="001F4999">
        <w:rPr>
          <w:rFonts w:ascii="Times New Roman" w:hAnsi="Times New Roman" w:cs="Times New Roman"/>
        </w:rPr>
        <w:t xml:space="preserve">In order to be more collaborative while respecting the unique needs of </w:t>
      </w:r>
      <w:r w:rsidR="00FF699B" w:rsidRPr="001F4999">
        <w:rPr>
          <w:rFonts w:ascii="Times New Roman" w:hAnsi="Times New Roman" w:cs="Times New Roman"/>
        </w:rPr>
        <w:t xml:space="preserve">residents from </w:t>
      </w:r>
      <w:r w:rsidR="00C4237F" w:rsidRPr="001F4999">
        <w:rPr>
          <w:rFonts w:ascii="Times New Roman" w:hAnsi="Times New Roman" w:cs="Times New Roman"/>
        </w:rPr>
        <w:t xml:space="preserve">each state, </w:t>
      </w:r>
      <w:r w:rsidRPr="001F4999">
        <w:rPr>
          <w:rFonts w:ascii="Times New Roman" w:hAnsi="Times New Roman" w:cs="Times New Roman"/>
        </w:rPr>
        <w:t xml:space="preserve">we began using common assessment tools across </w:t>
      </w:r>
      <w:r w:rsidR="00C4237F" w:rsidRPr="001F4999">
        <w:rPr>
          <w:rFonts w:ascii="Times New Roman" w:hAnsi="Times New Roman" w:cs="Times New Roman"/>
        </w:rPr>
        <w:t>studies</w:t>
      </w:r>
      <w:r w:rsidRPr="001F4999">
        <w:rPr>
          <w:rFonts w:ascii="Times New Roman" w:hAnsi="Times New Roman" w:cs="Times New Roman"/>
        </w:rPr>
        <w:t xml:space="preserve">. This has allowed for the merging of data to perform cross-sectional studies. For example, </w:t>
      </w:r>
      <w:r w:rsidR="006D2E52" w:rsidRPr="001F4999">
        <w:rPr>
          <w:rFonts w:ascii="Times New Roman" w:eastAsia="Times New Roman" w:hAnsi="Times New Roman" w:cs="Times New Roman"/>
          <w:lang w:val="en"/>
        </w:rPr>
        <w:t xml:space="preserve">many </w:t>
      </w:r>
      <w:r w:rsidR="00C4237F" w:rsidRPr="001F4999">
        <w:rPr>
          <w:rFonts w:ascii="Times New Roman" w:eastAsia="Times New Roman" w:hAnsi="Times New Roman" w:cs="Times New Roman"/>
          <w:lang w:val="en"/>
        </w:rPr>
        <w:t xml:space="preserve">states </w:t>
      </w:r>
      <w:r w:rsidR="006D2E52" w:rsidRPr="001F4999">
        <w:rPr>
          <w:rFonts w:ascii="Times New Roman" w:eastAsia="Times New Roman" w:hAnsi="Times New Roman" w:cs="Times New Roman"/>
          <w:lang w:val="en"/>
        </w:rPr>
        <w:t xml:space="preserve">were implementing various </w:t>
      </w:r>
      <w:r w:rsidR="002C3A48" w:rsidRPr="001F4999">
        <w:rPr>
          <w:rFonts w:ascii="Times New Roman" w:eastAsia="Times New Roman" w:hAnsi="Times New Roman" w:cs="Times New Roman"/>
          <w:lang w:val="en"/>
        </w:rPr>
        <w:t xml:space="preserve">community-based </w:t>
      </w:r>
      <w:r w:rsidR="006D2E52" w:rsidRPr="001F4999">
        <w:rPr>
          <w:rFonts w:ascii="Times New Roman" w:eastAsia="Times New Roman" w:hAnsi="Times New Roman" w:cs="Times New Roman"/>
          <w:lang w:val="en"/>
        </w:rPr>
        <w:t>nutrition</w:t>
      </w:r>
      <w:r w:rsidR="00C4237F" w:rsidRPr="001F4999">
        <w:rPr>
          <w:rFonts w:ascii="Times New Roman" w:eastAsia="Times New Roman" w:hAnsi="Times New Roman" w:cs="Times New Roman"/>
          <w:lang w:val="en"/>
        </w:rPr>
        <w:t xml:space="preserve"> </w:t>
      </w:r>
      <w:r w:rsidR="002C3A48" w:rsidRPr="001F4999">
        <w:rPr>
          <w:rFonts w:ascii="Times New Roman" w:eastAsia="Times New Roman" w:hAnsi="Times New Roman" w:cs="Times New Roman"/>
          <w:lang w:val="en"/>
        </w:rPr>
        <w:t xml:space="preserve">education </w:t>
      </w:r>
      <w:r w:rsidR="006D2E52" w:rsidRPr="001F4999">
        <w:rPr>
          <w:rFonts w:ascii="Times New Roman" w:eastAsia="Times New Roman" w:hAnsi="Times New Roman" w:cs="Times New Roman"/>
          <w:lang w:val="en"/>
        </w:rPr>
        <w:t xml:space="preserve">programs designed to meet the needs of our stakeholders. </w:t>
      </w:r>
      <w:r w:rsidR="002C3A48" w:rsidRPr="001F4999">
        <w:rPr>
          <w:rFonts w:ascii="Times New Roman" w:eastAsia="Times New Roman" w:hAnsi="Times New Roman" w:cs="Times New Roman"/>
          <w:lang w:val="en"/>
        </w:rPr>
        <w:t xml:space="preserve">Although </w:t>
      </w:r>
      <w:r w:rsidR="00D30E5D" w:rsidRPr="001F4999">
        <w:rPr>
          <w:rFonts w:ascii="Times New Roman" w:eastAsia="Times New Roman" w:hAnsi="Times New Roman" w:cs="Times New Roman"/>
          <w:lang w:val="en"/>
        </w:rPr>
        <w:t>we were not evaluating the</w:t>
      </w:r>
      <w:r w:rsidR="002C3A48" w:rsidRPr="001F4999">
        <w:rPr>
          <w:rFonts w:ascii="Times New Roman" w:eastAsia="Times New Roman" w:hAnsi="Times New Roman" w:cs="Times New Roman"/>
          <w:lang w:val="en"/>
        </w:rPr>
        <w:t xml:space="preserve"> same intervention across states, each state had asked the same sociodemographic questions and used the same nutritional risk assessment tool. </w:t>
      </w:r>
      <w:r w:rsidRPr="001F4999">
        <w:rPr>
          <w:rFonts w:ascii="Times New Roman" w:eastAsia="Times New Roman" w:hAnsi="Times New Roman" w:cs="Times New Roman"/>
          <w:lang w:val="en"/>
        </w:rPr>
        <w:t xml:space="preserve">Team members from three states, New Hampshire (no longer with the project), Rhode Island and </w:t>
      </w:r>
      <w:r w:rsidR="00053151" w:rsidRPr="001F4999">
        <w:rPr>
          <w:rFonts w:ascii="Times New Roman" w:eastAsia="Times New Roman" w:hAnsi="Times New Roman" w:cs="Times New Roman"/>
          <w:lang w:val="en"/>
        </w:rPr>
        <w:t>Iowa, created a multistate data</w:t>
      </w:r>
      <w:r w:rsidRPr="001F4999">
        <w:rPr>
          <w:rFonts w:ascii="Times New Roman" w:eastAsia="Times New Roman" w:hAnsi="Times New Roman" w:cs="Times New Roman"/>
          <w:lang w:val="en"/>
        </w:rPr>
        <w:t>base with sociodemographic data and the nutritional risk assessment data to id</w:t>
      </w:r>
      <w:r w:rsidR="00E22636" w:rsidRPr="001F4999">
        <w:rPr>
          <w:rFonts w:ascii="Times New Roman" w:eastAsia="Times New Roman" w:hAnsi="Times New Roman" w:cs="Times New Roman"/>
          <w:lang w:val="en"/>
        </w:rPr>
        <w:t>entif</w:t>
      </w:r>
      <w:r w:rsidRPr="001F4999">
        <w:rPr>
          <w:rFonts w:ascii="Times New Roman" w:eastAsia="Times New Roman" w:hAnsi="Times New Roman" w:cs="Times New Roman"/>
          <w:lang w:val="en"/>
        </w:rPr>
        <w:t xml:space="preserve">y the </w:t>
      </w:r>
      <w:r w:rsidR="00E22636" w:rsidRPr="001F4999">
        <w:rPr>
          <w:rFonts w:ascii="Times New Roman" w:eastAsia="Times New Roman" w:hAnsi="Times New Roman" w:cs="Times New Roman"/>
          <w:lang w:val="en"/>
        </w:rPr>
        <w:t>nutritional risk factors of community-residing older adults</w:t>
      </w:r>
      <w:r w:rsidRPr="001F4999">
        <w:rPr>
          <w:rFonts w:ascii="Times New Roman" w:eastAsia="Times New Roman" w:hAnsi="Times New Roman" w:cs="Times New Roman"/>
          <w:lang w:val="en"/>
        </w:rPr>
        <w:t xml:space="preserve">. </w:t>
      </w:r>
      <w:r w:rsidR="00FE18D3" w:rsidRPr="001F4999">
        <w:rPr>
          <w:rFonts w:ascii="Times New Roman" w:eastAsia="Times New Roman" w:hAnsi="Times New Roman" w:cs="Times New Roman"/>
          <w:lang w:val="en"/>
        </w:rPr>
        <w:t xml:space="preserve">This study </w:t>
      </w:r>
      <w:r w:rsidRPr="001F4999">
        <w:rPr>
          <w:rFonts w:ascii="Times New Roman" w:eastAsia="Times New Roman" w:hAnsi="Times New Roman" w:cs="Times New Roman"/>
          <w:lang w:val="en"/>
        </w:rPr>
        <w:t>revealed most community-residing older adults were at nutritional risk and that the</w:t>
      </w:r>
      <w:r w:rsidR="00053151" w:rsidRPr="001F4999">
        <w:rPr>
          <w:rFonts w:ascii="Times New Roman" w:eastAsia="Times New Roman" w:hAnsi="Times New Roman" w:cs="Times New Roman"/>
          <w:lang w:val="en"/>
        </w:rPr>
        <w:t>ir</w:t>
      </w:r>
      <w:r w:rsidRPr="001F4999">
        <w:rPr>
          <w:rFonts w:ascii="Times New Roman" w:eastAsia="Times New Roman" w:hAnsi="Times New Roman" w:cs="Times New Roman"/>
          <w:lang w:val="en"/>
        </w:rPr>
        <w:t xml:space="preserve"> intake frequencies of</w:t>
      </w:r>
      <w:r w:rsidR="00053151" w:rsidRPr="001F4999">
        <w:rPr>
          <w:rFonts w:ascii="Times New Roman" w:eastAsia="Times New Roman" w:hAnsi="Times New Roman" w:cs="Times New Roman"/>
          <w:lang w:val="en"/>
        </w:rPr>
        <w:t xml:space="preserve"> protein-rich foods was </w:t>
      </w:r>
      <w:r w:rsidRPr="001F4999">
        <w:rPr>
          <w:rFonts w:ascii="Times New Roman" w:eastAsia="Times New Roman" w:hAnsi="Times New Roman" w:cs="Times New Roman"/>
          <w:lang w:val="en"/>
        </w:rPr>
        <w:t xml:space="preserve">low </w:t>
      </w:r>
      <w:r w:rsidR="00FE18D3" w:rsidRPr="001F4999">
        <w:rPr>
          <w:rFonts w:ascii="Times New Roman" w:eastAsia="Times New Roman" w:hAnsi="Times New Roman" w:cs="Times New Roman"/>
          <w:lang w:val="en"/>
        </w:rPr>
        <w:t>(</w:t>
      </w:r>
      <w:r w:rsidR="00FE18D3" w:rsidRPr="001F4999">
        <w:rPr>
          <w:rFonts w:ascii="Times New Roman" w:hAnsi="Times New Roman" w:cs="Times New Roman"/>
          <w:color w:val="000000"/>
        </w:rPr>
        <w:t>MacNab et al., 2018)</w:t>
      </w:r>
      <w:r w:rsidRPr="001F4999">
        <w:rPr>
          <w:rFonts w:ascii="Times New Roman" w:eastAsia="Times New Roman" w:hAnsi="Times New Roman" w:cs="Times New Roman"/>
          <w:lang w:val="en"/>
        </w:rPr>
        <w:t xml:space="preserve">. </w:t>
      </w:r>
      <w:r w:rsidRPr="001F4999">
        <w:rPr>
          <w:rFonts w:ascii="Times New Roman" w:hAnsi="Times New Roman" w:cs="Times New Roman"/>
        </w:rPr>
        <w:t>Given the success of this project, t</w:t>
      </w:r>
      <w:r w:rsidR="00A25F4A" w:rsidRPr="001F4999">
        <w:rPr>
          <w:rFonts w:ascii="Times New Roman" w:hAnsi="Times New Roman" w:cs="Times New Roman"/>
        </w:rPr>
        <w:t>his approach will be expanded for</w:t>
      </w:r>
      <w:r w:rsidR="00DF4381" w:rsidRPr="001F4999">
        <w:rPr>
          <w:rFonts w:ascii="Times New Roman" w:hAnsi="Times New Roman" w:cs="Times New Roman"/>
        </w:rPr>
        <w:t xml:space="preserve"> this proposed renewal project with all states </w:t>
      </w:r>
      <w:r w:rsidR="00C4237F" w:rsidRPr="001F4999">
        <w:rPr>
          <w:rFonts w:ascii="Times New Roman" w:hAnsi="Times New Roman" w:cs="Times New Roman"/>
        </w:rPr>
        <w:t>choosing from</w:t>
      </w:r>
      <w:r w:rsidR="00DF4381" w:rsidRPr="001F4999">
        <w:rPr>
          <w:rFonts w:ascii="Times New Roman" w:hAnsi="Times New Roman" w:cs="Times New Roman"/>
        </w:rPr>
        <w:t xml:space="preserve"> the same assessment measures </w:t>
      </w:r>
      <w:r w:rsidR="00C4237F" w:rsidRPr="001F4999">
        <w:rPr>
          <w:rFonts w:ascii="Times New Roman" w:hAnsi="Times New Roman" w:cs="Times New Roman"/>
        </w:rPr>
        <w:t>as appropriate for their studies</w:t>
      </w:r>
      <w:r w:rsidR="00DF4381" w:rsidRPr="001F4999">
        <w:rPr>
          <w:rFonts w:ascii="Times New Roman" w:hAnsi="Times New Roman" w:cs="Times New Roman"/>
        </w:rPr>
        <w:t xml:space="preserve">. </w:t>
      </w:r>
    </w:p>
    <w:p w14:paraId="28DD9C6C" w14:textId="17C15441" w:rsidR="00E837D4" w:rsidRPr="001F4999" w:rsidRDefault="00E837D4" w:rsidP="002C38B5">
      <w:pPr>
        <w:spacing w:after="0" w:line="240" w:lineRule="auto"/>
        <w:ind w:firstLine="720"/>
        <w:rPr>
          <w:rFonts w:ascii="Times New Roman" w:hAnsi="Times New Roman" w:cs="Times New Roman"/>
        </w:rPr>
      </w:pPr>
      <w:r w:rsidRPr="001F4999">
        <w:rPr>
          <w:rFonts w:ascii="Times New Roman" w:hAnsi="Times New Roman" w:cs="Times New Roman"/>
        </w:rPr>
        <w:t>Furthermore, three current team members are Extension state specialists</w:t>
      </w:r>
      <w:r w:rsidR="008130AC" w:rsidRPr="001F4999">
        <w:rPr>
          <w:rFonts w:ascii="Times New Roman" w:hAnsi="Times New Roman" w:cs="Times New Roman"/>
        </w:rPr>
        <w:t xml:space="preserve"> (ISU, Mississippi State University [MSU], and UICU)</w:t>
      </w:r>
      <w:r w:rsidRPr="001F4999">
        <w:rPr>
          <w:rFonts w:ascii="Times New Roman" w:hAnsi="Times New Roman" w:cs="Times New Roman"/>
        </w:rPr>
        <w:t xml:space="preserve">. </w:t>
      </w:r>
      <w:r w:rsidR="008130AC" w:rsidRPr="001F4999">
        <w:rPr>
          <w:rFonts w:ascii="Times New Roman" w:hAnsi="Times New Roman" w:cs="Times New Roman"/>
        </w:rPr>
        <w:t xml:space="preserve">Having </w:t>
      </w:r>
      <w:r w:rsidR="002F4D53" w:rsidRPr="001F4999">
        <w:rPr>
          <w:rFonts w:ascii="Times New Roman" w:hAnsi="Times New Roman" w:cs="Times New Roman"/>
        </w:rPr>
        <w:t xml:space="preserve">Extension Specialists on the </w:t>
      </w:r>
      <w:r w:rsidR="002C38B5" w:rsidRPr="001F4999">
        <w:rPr>
          <w:rFonts w:ascii="Times New Roman" w:hAnsi="Times New Roman" w:cs="Times New Roman"/>
        </w:rPr>
        <w:t>NE</w:t>
      </w:r>
      <w:r w:rsidR="00D30E5D" w:rsidRPr="001F4999">
        <w:rPr>
          <w:rFonts w:ascii="Times New Roman" w:hAnsi="Times New Roman" w:cs="Times New Roman"/>
        </w:rPr>
        <w:t>-</w:t>
      </w:r>
      <w:r w:rsidR="002C38B5" w:rsidRPr="001F4999">
        <w:rPr>
          <w:rFonts w:ascii="Times New Roman" w:hAnsi="Times New Roman" w:cs="Times New Roman"/>
        </w:rPr>
        <w:t>1439</w:t>
      </w:r>
      <w:r w:rsidR="002F4D53" w:rsidRPr="001F4999">
        <w:rPr>
          <w:rFonts w:ascii="Times New Roman" w:hAnsi="Times New Roman" w:cs="Times New Roman"/>
        </w:rPr>
        <w:t xml:space="preserve"> team</w:t>
      </w:r>
      <w:r w:rsidR="004E51F0" w:rsidRPr="001F4999">
        <w:rPr>
          <w:rFonts w:ascii="Times New Roman" w:hAnsi="Times New Roman" w:cs="Times New Roman"/>
        </w:rPr>
        <w:t>,</w:t>
      </w:r>
      <w:r w:rsidR="002F4D53" w:rsidRPr="001F4999">
        <w:rPr>
          <w:rFonts w:ascii="Times New Roman" w:hAnsi="Times New Roman" w:cs="Times New Roman"/>
        </w:rPr>
        <w:t xml:space="preserve"> has allowed for the development of </w:t>
      </w:r>
      <w:r w:rsidR="00FF03CD" w:rsidRPr="001F4999">
        <w:rPr>
          <w:rFonts w:ascii="Times New Roman" w:hAnsi="Times New Roman" w:cs="Times New Roman"/>
        </w:rPr>
        <w:t>community-based materials and interventions based on the formative work completed</w:t>
      </w:r>
      <w:r w:rsidR="00D30E5D" w:rsidRPr="001F4999">
        <w:rPr>
          <w:rFonts w:ascii="Times New Roman" w:hAnsi="Times New Roman" w:cs="Times New Roman"/>
        </w:rPr>
        <w:t xml:space="preserve"> through </w:t>
      </w:r>
      <w:r w:rsidR="008130AC" w:rsidRPr="001F4999">
        <w:rPr>
          <w:rFonts w:ascii="Times New Roman" w:hAnsi="Times New Roman" w:cs="Times New Roman"/>
        </w:rPr>
        <w:t xml:space="preserve">the </w:t>
      </w:r>
      <w:r w:rsidR="002C38B5" w:rsidRPr="001F4999">
        <w:rPr>
          <w:rFonts w:ascii="Times New Roman" w:hAnsi="Times New Roman" w:cs="Times New Roman"/>
        </w:rPr>
        <w:t>NE</w:t>
      </w:r>
      <w:r w:rsidR="00D30E5D" w:rsidRPr="001F4999">
        <w:rPr>
          <w:rFonts w:ascii="Times New Roman" w:hAnsi="Times New Roman" w:cs="Times New Roman"/>
        </w:rPr>
        <w:t>-</w:t>
      </w:r>
      <w:r w:rsidR="002C38B5" w:rsidRPr="001F4999">
        <w:rPr>
          <w:rFonts w:ascii="Times New Roman" w:hAnsi="Times New Roman" w:cs="Times New Roman"/>
        </w:rPr>
        <w:t>1439</w:t>
      </w:r>
      <w:r w:rsidR="008130AC" w:rsidRPr="001F4999">
        <w:rPr>
          <w:rFonts w:ascii="Times New Roman" w:hAnsi="Times New Roman" w:cs="Times New Roman"/>
        </w:rPr>
        <w:t xml:space="preserve"> project</w:t>
      </w:r>
      <w:r w:rsidR="00FF03CD" w:rsidRPr="001F4999">
        <w:rPr>
          <w:rFonts w:ascii="Times New Roman" w:hAnsi="Times New Roman" w:cs="Times New Roman"/>
        </w:rPr>
        <w:t xml:space="preserve">. For example, the Stay Independent—a healthy aging series </w:t>
      </w:r>
      <w:r w:rsidR="006E47A1" w:rsidRPr="001F4999">
        <w:rPr>
          <w:rFonts w:ascii="Times New Roman" w:hAnsi="Times New Roman" w:cs="Times New Roman"/>
        </w:rPr>
        <w:t>(</w:t>
      </w:r>
      <w:hyperlink r:id="rId9" w:history="1">
        <w:r w:rsidR="006E47A1" w:rsidRPr="001F4999">
          <w:rPr>
            <w:rStyle w:val="Hyperlink"/>
            <w:rFonts w:ascii="Times New Roman" w:hAnsi="Times New Roman" w:cs="Times New Roman"/>
          </w:rPr>
          <w:t>https://www.extension.iastate.edu/humansciences/stay-independent</w:t>
        </w:r>
      </w:hyperlink>
      <w:r w:rsidR="006E47A1" w:rsidRPr="001F4999">
        <w:rPr>
          <w:rFonts w:ascii="Times New Roman" w:hAnsi="Times New Roman" w:cs="Times New Roman"/>
        </w:rPr>
        <w:t xml:space="preserve">) </w:t>
      </w:r>
      <w:r w:rsidR="00FF03CD" w:rsidRPr="001F4999">
        <w:rPr>
          <w:rFonts w:ascii="Times New Roman" w:hAnsi="Times New Roman" w:cs="Times New Roman"/>
        </w:rPr>
        <w:t>was developed based on</w:t>
      </w:r>
      <w:r w:rsidR="00D30E5D" w:rsidRPr="001F4999">
        <w:rPr>
          <w:rFonts w:ascii="Times New Roman" w:hAnsi="Times New Roman" w:cs="Times New Roman"/>
        </w:rPr>
        <w:t xml:space="preserve"> the</w:t>
      </w:r>
      <w:r w:rsidR="00FF03CD" w:rsidRPr="001F4999">
        <w:rPr>
          <w:rFonts w:ascii="Times New Roman" w:hAnsi="Times New Roman" w:cs="Times New Roman"/>
        </w:rPr>
        <w:t xml:space="preserve"> nutritional risk assessments </w:t>
      </w:r>
      <w:r w:rsidR="00730281" w:rsidRPr="001F4999">
        <w:rPr>
          <w:rFonts w:ascii="Times New Roman" w:hAnsi="Times New Roman" w:cs="Times New Roman"/>
        </w:rPr>
        <w:t>b</w:t>
      </w:r>
      <w:r w:rsidR="008130AC" w:rsidRPr="001F4999">
        <w:rPr>
          <w:rFonts w:ascii="Times New Roman" w:hAnsi="Times New Roman" w:cs="Times New Roman"/>
        </w:rPr>
        <w:t>y MacNab and others</w:t>
      </w:r>
      <w:r w:rsidR="006E47A1" w:rsidRPr="001F4999">
        <w:rPr>
          <w:rFonts w:ascii="Times New Roman" w:hAnsi="Times New Roman" w:cs="Times New Roman"/>
        </w:rPr>
        <w:t xml:space="preserve"> </w:t>
      </w:r>
      <w:r w:rsidR="006E47A1" w:rsidRPr="001F4999">
        <w:rPr>
          <w:rFonts w:ascii="Times New Roman" w:hAnsi="Times New Roman" w:cs="Times New Roman"/>
          <w:vertAlign w:val="superscript"/>
        </w:rPr>
        <w:t>39</w:t>
      </w:r>
      <w:r w:rsidR="00FF03CD" w:rsidRPr="001F4999">
        <w:rPr>
          <w:rFonts w:ascii="Times New Roman" w:hAnsi="Times New Roman" w:cs="Times New Roman"/>
        </w:rPr>
        <w:t xml:space="preserve">. It is now a statewide program in Iowa. For the proposed </w:t>
      </w:r>
      <w:r w:rsidR="000C1EE8" w:rsidRPr="001F4999">
        <w:rPr>
          <w:rFonts w:ascii="Times New Roman" w:hAnsi="Times New Roman" w:cs="Times New Roman"/>
        </w:rPr>
        <w:t>renewal</w:t>
      </w:r>
      <w:r w:rsidR="00FF03CD" w:rsidRPr="001F4999">
        <w:rPr>
          <w:rFonts w:ascii="Times New Roman" w:hAnsi="Times New Roman" w:cs="Times New Roman"/>
        </w:rPr>
        <w:t xml:space="preserve"> project, we aim to </w:t>
      </w:r>
      <w:r w:rsidR="000C1EE8" w:rsidRPr="001F4999">
        <w:rPr>
          <w:rFonts w:ascii="Times New Roman" w:hAnsi="Times New Roman" w:cs="Times New Roman"/>
        </w:rPr>
        <w:t xml:space="preserve">pilot test community-based interventions through Extension as well as </w:t>
      </w:r>
      <w:r w:rsidR="006E47A1" w:rsidRPr="001F4999">
        <w:rPr>
          <w:rFonts w:ascii="Times New Roman" w:hAnsi="Times New Roman" w:cs="Times New Roman"/>
        </w:rPr>
        <w:t>develop</w:t>
      </w:r>
      <w:r w:rsidR="00FF03CD" w:rsidRPr="001F4999">
        <w:rPr>
          <w:rFonts w:ascii="Times New Roman" w:hAnsi="Times New Roman" w:cs="Times New Roman"/>
        </w:rPr>
        <w:t xml:space="preserve"> Extension publications and </w:t>
      </w:r>
      <w:r w:rsidR="000C1EE8" w:rsidRPr="001F4999">
        <w:rPr>
          <w:rFonts w:ascii="Times New Roman" w:hAnsi="Times New Roman" w:cs="Times New Roman"/>
        </w:rPr>
        <w:t>products</w:t>
      </w:r>
      <w:r w:rsidR="00FF03CD" w:rsidRPr="001F4999">
        <w:rPr>
          <w:rFonts w:ascii="Times New Roman" w:hAnsi="Times New Roman" w:cs="Times New Roman"/>
        </w:rPr>
        <w:t xml:space="preserve"> that are informed through our c</w:t>
      </w:r>
      <w:r w:rsidR="008130AC" w:rsidRPr="001F4999">
        <w:rPr>
          <w:rFonts w:ascii="Times New Roman" w:hAnsi="Times New Roman" w:cs="Times New Roman"/>
        </w:rPr>
        <w:t xml:space="preserve">ollaborative research efforts. </w:t>
      </w:r>
      <w:r w:rsidR="00FF03CD" w:rsidRPr="001F4999">
        <w:rPr>
          <w:rFonts w:ascii="Times New Roman" w:hAnsi="Times New Roman" w:cs="Times New Roman"/>
        </w:rPr>
        <w:t xml:space="preserve">Doing so, increases the likelihood of this multistate project having national </w:t>
      </w:r>
      <w:r w:rsidR="004E51F0" w:rsidRPr="001F4999">
        <w:rPr>
          <w:rFonts w:ascii="Times New Roman" w:hAnsi="Times New Roman" w:cs="Times New Roman"/>
        </w:rPr>
        <w:t>implications,</w:t>
      </w:r>
      <w:r w:rsidR="00FF03CD" w:rsidRPr="001F4999">
        <w:rPr>
          <w:rFonts w:ascii="Times New Roman" w:hAnsi="Times New Roman" w:cs="Times New Roman"/>
        </w:rPr>
        <w:t xml:space="preserve"> as </w:t>
      </w:r>
      <w:r w:rsidRPr="001F4999">
        <w:rPr>
          <w:rFonts w:ascii="Times New Roman" w:hAnsi="Times New Roman" w:cs="Times New Roman"/>
        </w:rPr>
        <w:t>Extension is available in all states</w:t>
      </w:r>
      <w:r w:rsidR="00FF03CD" w:rsidRPr="001F4999">
        <w:rPr>
          <w:rFonts w:ascii="Times New Roman" w:hAnsi="Times New Roman" w:cs="Times New Roman"/>
        </w:rPr>
        <w:t>.</w:t>
      </w:r>
    </w:p>
    <w:p w14:paraId="416C4737" w14:textId="5CAA713B" w:rsidR="00B12125" w:rsidRPr="001F4999" w:rsidRDefault="005E001A" w:rsidP="002C38B5">
      <w:pPr>
        <w:spacing w:after="0" w:line="240" w:lineRule="auto"/>
        <w:ind w:firstLine="720"/>
        <w:rPr>
          <w:rFonts w:ascii="Times New Roman" w:hAnsi="Times New Roman" w:cs="Times New Roman"/>
        </w:rPr>
      </w:pPr>
      <w:r w:rsidRPr="001F4999">
        <w:rPr>
          <w:rFonts w:ascii="Times New Roman" w:hAnsi="Times New Roman" w:cs="Times New Roman"/>
        </w:rPr>
        <w:t xml:space="preserve">The work accomplished over the past few years through the </w:t>
      </w:r>
      <w:r w:rsidR="002C38B5" w:rsidRPr="001F4999">
        <w:rPr>
          <w:rFonts w:ascii="Times New Roman" w:hAnsi="Times New Roman" w:cs="Times New Roman"/>
        </w:rPr>
        <w:t>NE</w:t>
      </w:r>
      <w:r w:rsidR="00D30E5D" w:rsidRPr="001F4999">
        <w:rPr>
          <w:rFonts w:ascii="Times New Roman" w:hAnsi="Times New Roman" w:cs="Times New Roman"/>
        </w:rPr>
        <w:t>-</w:t>
      </w:r>
      <w:r w:rsidR="002C38B5" w:rsidRPr="001F4999">
        <w:rPr>
          <w:rFonts w:ascii="Times New Roman" w:hAnsi="Times New Roman" w:cs="Times New Roman"/>
        </w:rPr>
        <w:t>1439</w:t>
      </w:r>
      <w:r w:rsidR="008130AC" w:rsidRPr="001F4999">
        <w:rPr>
          <w:rFonts w:ascii="Times New Roman" w:hAnsi="Times New Roman" w:cs="Times New Roman"/>
        </w:rPr>
        <w:t xml:space="preserve"> multistate project </w:t>
      </w:r>
      <w:r w:rsidRPr="001F4999">
        <w:rPr>
          <w:rFonts w:ascii="Times New Roman" w:hAnsi="Times New Roman" w:cs="Times New Roman"/>
        </w:rPr>
        <w:t xml:space="preserve">has identified sarcopenia as a focus of our </w:t>
      </w:r>
      <w:r w:rsidR="000C1EE8" w:rsidRPr="001F4999">
        <w:rPr>
          <w:rFonts w:ascii="Times New Roman" w:hAnsi="Times New Roman" w:cs="Times New Roman"/>
        </w:rPr>
        <w:t xml:space="preserve">future </w:t>
      </w:r>
      <w:r w:rsidRPr="001F4999">
        <w:rPr>
          <w:rFonts w:ascii="Times New Roman" w:hAnsi="Times New Roman" w:cs="Times New Roman"/>
        </w:rPr>
        <w:t xml:space="preserve">interdisciplinary work. </w:t>
      </w:r>
      <w:r w:rsidR="00B9627D" w:rsidRPr="001F4999">
        <w:rPr>
          <w:rFonts w:ascii="Times New Roman" w:hAnsi="Times New Roman" w:cs="Times New Roman"/>
          <w:color w:val="000000"/>
        </w:rPr>
        <w:t>Help</w:t>
      </w:r>
      <w:r w:rsidR="00C4237F" w:rsidRPr="001F4999">
        <w:rPr>
          <w:rFonts w:ascii="Times New Roman" w:hAnsi="Times New Roman" w:cs="Times New Roman"/>
          <w:color w:val="000000"/>
        </w:rPr>
        <w:t xml:space="preserve">ing </w:t>
      </w:r>
      <w:r w:rsidR="00B9627D" w:rsidRPr="001F4999">
        <w:rPr>
          <w:rFonts w:ascii="Times New Roman" w:hAnsi="Times New Roman" w:cs="Times New Roman"/>
          <w:color w:val="000000"/>
        </w:rPr>
        <w:t xml:space="preserve">adults age in place is a critical public health issue as the number of adults turning age 65+ grows rapidly. Long-term care spending reached $210.9 billion in 2011 in the United States (US) </w:t>
      </w:r>
      <w:r w:rsidR="006E47A1" w:rsidRPr="001F4999">
        <w:rPr>
          <w:rFonts w:ascii="Times New Roman" w:hAnsi="Times New Roman" w:cs="Times New Roman"/>
          <w:color w:val="000000"/>
          <w:vertAlign w:val="superscript"/>
        </w:rPr>
        <w:t>20</w:t>
      </w:r>
      <w:r w:rsidR="00B9627D" w:rsidRPr="001F4999">
        <w:rPr>
          <w:rFonts w:ascii="Times New Roman" w:hAnsi="Times New Roman" w:cs="Times New Roman"/>
          <w:color w:val="000000"/>
        </w:rPr>
        <w:t xml:space="preserve"> and can comprise a major expense for older adults.</w:t>
      </w:r>
      <w:r w:rsidR="00BC54C3" w:rsidRPr="001F4999">
        <w:rPr>
          <w:rFonts w:ascii="Times New Roman" w:hAnsi="Times New Roman" w:cs="Times New Roman"/>
          <w:color w:val="000000"/>
        </w:rPr>
        <w:t xml:space="preserve"> A major threat to adults being able to age in place is sarcopenia. </w:t>
      </w:r>
      <w:r w:rsidR="00BC54C3" w:rsidRPr="001F4999">
        <w:rPr>
          <w:rFonts w:ascii="Times New Roman" w:hAnsi="Times New Roman" w:cs="Times New Roman"/>
        </w:rPr>
        <w:t xml:space="preserve">Sarcopenia is an often undiagnosed, chronic disease affecting older adults that has dire consequences both financially and physically </w:t>
      </w:r>
      <w:r w:rsidR="006E47A1" w:rsidRPr="001F4999">
        <w:rPr>
          <w:rFonts w:ascii="Times New Roman" w:hAnsi="Times New Roman" w:cs="Times New Roman"/>
          <w:vertAlign w:val="superscript"/>
        </w:rPr>
        <w:t>32</w:t>
      </w:r>
      <w:r w:rsidR="00BC54C3" w:rsidRPr="001F4999">
        <w:rPr>
          <w:rFonts w:ascii="Times New Roman" w:hAnsi="Times New Roman" w:cs="Times New Roman"/>
        </w:rPr>
        <w:t>.</w:t>
      </w:r>
      <w:r w:rsidR="00C4237F" w:rsidRPr="001F4999">
        <w:rPr>
          <w:rFonts w:ascii="Times New Roman" w:hAnsi="Times New Roman" w:cs="Times New Roman"/>
        </w:rPr>
        <w:t xml:space="preserve"> The renewal project provides the opportunity </w:t>
      </w:r>
      <w:r w:rsidR="008130AC" w:rsidRPr="001F4999">
        <w:rPr>
          <w:rFonts w:ascii="Times New Roman" w:hAnsi="Times New Roman" w:cs="Times New Roman"/>
        </w:rPr>
        <w:t>for team members</w:t>
      </w:r>
      <w:r w:rsidR="000C1EE8" w:rsidRPr="001F4999">
        <w:rPr>
          <w:rFonts w:ascii="Times New Roman" w:hAnsi="Times New Roman" w:cs="Times New Roman"/>
        </w:rPr>
        <w:t xml:space="preserve"> to</w:t>
      </w:r>
      <w:r w:rsidR="008130AC" w:rsidRPr="001F4999">
        <w:rPr>
          <w:rFonts w:ascii="Times New Roman" w:hAnsi="Times New Roman" w:cs="Times New Roman"/>
        </w:rPr>
        <w:t xml:space="preserve"> </w:t>
      </w:r>
      <w:r w:rsidR="00C4237F" w:rsidRPr="001F4999">
        <w:rPr>
          <w:rFonts w:ascii="Times New Roman" w:hAnsi="Times New Roman" w:cs="Times New Roman"/>
        </w:rPr>
        <w:t xml:space="preserve">focus on sarcopenia prevention </w:t>
      </w:r>
      <w:r w:rsidR="000C1EE8" w:rsidRPr="001F4999">
        <w:rPr>
          <w:rFonts w:ascii="Times New Roman" w:hAnsi="Times New Roman" w:cs="Times New Roman"/>
        </w:rPr>
        <w:t>applying</w:t>
      </w:r>
      <w:r w:rsidR="00C4237F" w:rsidRPr="001F4999">
        <w:rPr>
          <w:rFonts w:ascii="Times New Roman" w:hAnsi="Times New Roman" w:cs="Times New Roman"/>
        </w:rPr>
        <w:t xml:space="preserve"> a translational approach</w:t>
      </w:r>
      <w:r w:rsidR="00A92D94" w:rsidRPr="001F4999">
        <w:rPr>
          <w:rFonts w:ascii="Times New Roman" w:hAnsi="Times New Roman" w:cs="Times New Roman"/>
        </w:rPr>
        <w:t xml:space="preserve"> </w:t>
      </w:r>
      <w:r w:rsidR="004E51F0" w:rsidRPr="001F4999">
        <w:rPr>
          <w:rFonts w:ascii="Times New Roman" w:hAnsi="Times New Roman" w:cs="Times New Roman"/>
        </w:rPr>
        <w:t>that is</w:t>
      </w:r>
      <w:r w:rsidR="00A92D94" w:rsidRPr="001F4999">
        <w:rPr>
          <w:rFonts w:ascii="Times New Roman" w:hAnsi="Times New Roman" w:cs="Times New Roman"/>
        </w:rPr>
        <w:t xml:space="preserve"> inclusive of</w:t>
      </w:r>
      <w:r w:rsidR="00C4237F" w:rsidRPr="001F4999">
        <w:rPr>
          <w:rFonts w:ascii="Times New Roman" w:hAnsi="Times New Roman" w:cs="Times New Roman"/>
        </w:rPr>
        <w:t xml:space="preserve"> molecular, com</w:t>
      </w:r>
      <w:r w:rsidR="00A92D94" w:rsidRPr="001F4999">
        <w:rPr>
          <w:rFonts w:ascii="Times New Roman" w:hAnsi="Times New Roman" w:cs="Times New Roman"/>
        </w:rPr>
        <w:t xml:space="preserve">munity and environmental areas. This is innovative in the area of sarcopenia research. </w:t>
      </w:r>
      <w:r w:rsidR="00FB4E14" w:rsidRPr="001F4999">
        <w:rPr>
          <w:rFonts w:ascii="Times New Roman" w:hAnsi="Times New Roman" w:cs="Times New Roman"/>
        </w:rPr>
        <w:t xml:space="preserve">While sarcopenia will be a disease endpoint of focus, we will also continue to emphasize ways that the work we do has applications for the general aging process and for other </w:t>
      </w:r>
      <w:r w:rsidR="006E47A1" w:rsidRPr="001F4999">
        <w:rPr>
          <w:rFonts w:ascii="Times New Roman" w:hAnsi="Times New Roman" w:cs="Times New Roman"/>
        </w:rPr>
        <w:t xml:space="preserve">health </w:t>
      </w:r>
      <w:r w:rsidR="00FB4E14" w:rsidRPr="001F4999">
        <w:rPr>
          <w:rFonts w:ascii="Times New Roman" w:hAnsi="Times New Roman" w:cs="Times New Roman"/>
        </w:rPr>
        <w:t>conditions.</w:t>
      </w:r>
    </w:p>
    <w:p w14:paraId="2C491F1D" w14:textId="77777777" w:rsidR="00730281" w:rsidRPr="001F4999" w:rsidRDefault="00730281" w:rsidP="002C38B5">
      <w:pPr>
        <w:spacing w:after="0" w:line="240" w:lineRule="auto"/>
        <w:rPr>
          <w:rFonts w:ascii="Times New Roman" w:hAnsi="Times New Roman" w:cs="Times New Roman"/>
          <w:b/>
          <w:bCs/>
          <w:color w:val="FF0000"/>
        </w:rPr>
      </w:pPr>
    </w:p>
    <w:p w14:paraId="4A732864" w14:textId="0D5DE2BE" w:rsidR="002D640B" w:rsidRPr="001F4999" w:rsidRDefault="002D640B" w:rsidP="00813DA8">
      <w:pPr>
        <w:spacing w:after="0" w:line="240" w:lineRule="auto"/>
        <w:rPr>
          <w:rFonts w:ascii="Times New Roman" w:hAnsi="Times New Roman" w:cs="Times New Roman"/>
          <w:i/>
          <w:color w:val="FF0000"/>
        </w:rPr>
      </w:pPr>
      <w:r w:rsidRPr="001F4999">
        <w:rPr>
          <w:rFonts w:ascii="Times New Roman" w:hAnsi="Times New Roman" w:cs="Times New Roman"/>
          <w:b/>
          <w:bCs/>
        </w:rPr>
        <w:t>OBJECTIVES</w:t>
      </w:r>
    </w:p>
    <w:p w14:paraId="36752E93" w14:textId="0905A5AA" w:rsidR="00D57103" w:rsidRPr="001F4999" w:rsidRDefault="007141CA" w:rsidP="002C38B5">
      <w:pPr>
        <w:spacing w:after="0" w:line="240" w:lineRule="auto"/>
        <w:ind w:firstLine="720"/>
        <w:rPr>
          <w:rFonts w:ascii="Times New Roman" w:eastAsia="Times New Roman" w:hAnsi="Times New Roman" w:cs="Times New Roman"/>
          <w:bdr w:val="none" w:sz="0" w:space="0" w:color="auto" w:frame="1"/>
        </w:rPr>
      </w:pPr>
      <w:r w:rsidRPr="001F4999">
        <w:rPr>
          <w:rFonts w:ascii="Times New Roman" w:hAnsi="Times New Roman" w:cs="Times New Roman"/>
        </w:rPr>
        <w:lastRenderedPageBreak/>
        <w:t xml:space="preserve">The long-term goal of the proposed renewal project is to </w:t>
      </w:r>
      <w:r w:rsidRPr="001F4999">
        <w:rPr>
          <w:rFonts w:ascii="Times New Roman" w:eastAsia="Times New Roman" w:hAnsi="Times New Roman" w:cs="Times New Roman"/>
          <w:bdr w:val="none" w:sz="0" w:space="0" w:color="auto" w:frame="1"/>
        </w:rPr>
        <w:t xml:space="preserve">promote the independence and well-being of community-residing aging adults (ages 40 years and older). We aim to achieve this long-term goal by achieving the following research objectives: </w:t>
      </w:r>
    </w:p>
    <w:p w14:paraId="3C0EFA1F" w14:textId="37941377" w:rsidR="00D57103" w:rsidRPr="001F4999" w:rsidRDefault="00D57103" w:rsidP="002C38B5">
      <w:pPr>
        <w:pStyle w:val="ListParagraph"/>
        <w:numPr>
          <w:ilvl w:val="0"/>
          <w:numId w:val="4"/>
        </w:numPr>
        <w:spacing w:after="0" w:line="240" w:lineRule="auto"/>
        <w:rPr>
          <w:rFonts w:ascii="Times New Roman" w:hAnsi="Times New Roman"/>
        </w:rPr>
      </w:pPr>
      <w:r w:rsidRPr="001F4999">
        <w:rPr>
          <w:rFonts w:ascii="Times New Roman" w:hAnsi="Times New Roman"/>
          <w:b/>
        </w:rPr>
        <w:t xml:space="preserve">Objective 1: </w:t>
      </w:r>
      <w:r w:rsidRPr="001F4999">
        <w:rPr>
          <w:rFonts w:ascii="Times New Roman" w:hAnsi="Times New Roman"/>
        </w:rPr>
        <w:t>To conduct multidimensional assessments of diet, physical activity and related factors affecting aging adults</w:t>
      </w:r>
      <w:r w:rsidR="00FB4E14" w:rsidRPr="001F4999">
        <w:rPr>
          <w:rFonts w:ascii="Times New Roman" w:hAnsi="Times New Roman"/>
        </w:rPr>
        <w:t>.</w:t>
      </w:r>
    </w:p>
    <w:p w14:paraId="040F183C" w14:textId="7D29D472" w:rsidR="00D57103" w:rsidRPr="001F4999" w:rsidRDefault="00D57103" w:rsidP="002C38B5">
      <w:pPr>
        <w:pStyle w:val="ListParagraph"/>
        <w:numPr>
          <w:ilvl w:val="0"/>
          <w:numId w:val="4"/>
        </w:numPr>
        <w:spacing w:after="0" w:line="240" w:lineRule="auto"/>
        <w:rPr>
          <w:rFonts w:ascii="Times New Roman" w:hAnsi="Times New Roman"/>
        </w:rPr>
      </w:pPr>
      <w:r w:rsidRPr="001F4999">
        <w:rPr>
          <w:rFonts w:ascii="Times New Roman" w:hAnsi="Times New Roman"/>
          <w:b/>
        </w:rPr>
        <w:t xml:space="preserve">Objective 2: </w:t>
      </w:r>
      <w:r w:rsidRPr="001F4999">
        <w:rPr>
          <w:rFonts w:ascii="Times New Roman" w:hAnsi="Times New Roman"/>
        </w:rPr>
        <w:t xml:space="preserve"> To develop, implement and evaluate interventions that </w:t>
      </w:r>
      <w:r w:rsidR="00FF699B" w:rsidRPr="001F4999">
        <w:rPr>
          <w:rFonts w:ascii="Times New Roman" w:hAnsi="Times New Roman"/>
        </w:rPr>
        <w:t xml:space="preserve">preserve or </w:t>
      </w:r>
      <w:r w:rsidRPr="001F4999">
        <w:rPr>
          <w:rFonts w:ascii="Times New Roman" w:hAnsi="Times New Roman"/>
        </w:rPr>
        <w:t>improve health in aging adults living in rural and urban environments.</w:t>
      </w:r>
    </w:p>
    <w:p w14:paraId="014F0076" w14:textId="77777777" w:rsidR="00D57103" w:rsidRPr="001F4999" w:rsidRDefault="00D57103" w:rsidP="002C38B5">
      <w:pPr>
        <w:spacing w:after="0" w:line="240" w:lineRule="auto"/>
        <w:rPr>
          <w:rFonts w:ascii="Times New Roman" w:hAnsi="Times New Roman" w:cs="Times New Roman"/>
        </w:rPr>
      </w:pPr>
    </w:p>
    <w:p w14:paraId="41C958C5" w14:textId="176B3E3C" w:rsidR="00D57103" w:rsidRPr="001F4999" w:rsidRDefault="003D0FFC" w:rsidP="002C38B5">
      <w:pPr>
        <w:spacing w:after="0" w:line="240" w:lineRule="auto"/>
        <w:ind w:firstLine="720"/>
        <w:rPr>
          <w:rFonts w:ascii="Times New Roman" w:hAnsi="Times New Roman" w:cs="Times New Roman"/>
        </w:rPr>
      </w:pPr>
      <w:r w:rsidRPr="001F4999">
        <w:rPr>
          <w:rFonts w:ascii="Times New Roman" w:hAnsi="Times New Roman" w:cs="Times New Roman"/>
        </w:rPr>
        <w:t>C</w:t>
      </w:r>
      <w:r w:rsidR="00C27731" w:rsidRPr="001F4999">
        <w:rPr>
          <w:rFonts w:ascii="Times New Roman" w:hAnsi="Times New Roman" w:cs="Times New Roman"/>
        </w:rPr>
        <w:t>omplet</w:t>
      </w:r>
      <w:r w:rsidRPr="001F4999">
        <w:rPr>
          <w:rFonts w:ascii="Times New Roman" w:hAnsi="Times New Roman" w:cs="Times New Roman"/>
        </w:rPr>
        <w:t>ing</w:t>
      </w:r>
      <w:r w:rsidR="00C27731" w:rsidRPr="001F4999">
        <w:rPr>
          <w:rFonts w:ascii="Times New Roman" w:hAnsi="Times New Roman" w:cs="Times New Roman"/>
        </w:rPr>
        <w:t xml:space="preserve"> research studies under these objectives </w:t>
      </w:r>
      <w:r w:rsidRPr="001F4999">
        <w:rPr>
          <w:rFonts w:ascii="Times New Roman" w:hAnsi="Times New Roman" w:cs="Times New Roman"/>
        </w:rPr>
        <w:t>over the proposed five-year period (2019 through 2024) is expected to provide us with a more thorough understanding of: (1)</w:t>
      </w:r>
      <w:r w:rsidR="00C27731" w:rsidRPr="001F4999">
        <w:rPr>
          <w:rFonts w:ascii="Times New Roman" w:hAnsi="Times New Roman" w:cs="Times New Roman"/>
        </w:rPr>
        <w:t xml:space="preserve"> the issues impacting the health and well-being o</w:t>
      </w:r>
      <w:r w:rsidR="00432370" w:rsidRPr="001F4999">
        <w:rPr>
          <w:rFonts w:ascii="Times New Roman" w:hAnsi="Times New Roman" w:cs="Times New Roman"/>
        </w:rPr>
        <w:t>f adults age 40 years and older</w:t>
      </w:r>
      <w:r w:rsidRPr="001F4999">
        <w:rPr>
          <w:rFonts w:ascii="Times New Roman" w:hAnsi="Times New Roman" w:cs="Times New Roman"/>
        </w:rPr>
        <w:t>; (2) how diet and exercise</w:t>
      </w:r>
      <w:r w:rsidR="00CD7FD4" w:rsidRPr="001F4999">
        <w:rPr>
          <w:rFonts w:ascii="Times New Roman" w:hAnsi="Times New Roman" w:cs="Times New Roman"/>
        </w:rPr>
        <w:t>/physical activty</w:t>
      </w:r>
      <w:r w:rsidRPr="001F4999">
        <w:rPr>
          <w:rFonts w:ascii="Times New Roman" w:hAnsi="Times New Roman" w:cs="Times New Roman"/>
        </w:rPr>
        <w:t xml:space="preserve"> factors influence the body at the molecular and cellular level; and (3) </w:t>
      </w:r>
      <w:r w:rsidR="00432370" w:rsidRPr="001F4999">
        <w:rPr>
          <w:rFonts w:ascii="Times New Roman" w:hAnsi="Times New Roman" w:cs="Times New Roman"/>
        </w:rPr>
        <w:t>intervention strategies</w:t>
      </w:r>
      <w:r w:rsidRPr="001F4999">
        <w:rPr>
          <w:rFonts w:ascii="Times New Roman" w:hAnsi="Times New Roman" w:cs="Times New Roman"/>
        </w:rPr>
        <w:t xml:space="preserve"> resulting</w:t>
      </w:r>
      <w:r w:rsidR="00432370" w:rsidRPr="001F4999">
        <w:rPr>
          <w:rFonts w:ascii="Times New Roman" w:hAnsi="Times New Roman" w:cs="Times New Roman"/>
        </w:rPr>
        <w:t xml:space="preserve"> in</w:t>
      </w:r>
      <w:r w:rsidRPr="001F4999">
        <w:rPr>
          <w:rFonts w:ascii="Times New Roman" w:hAnsi="Times New Roman" w:cs="Times New Roman"/>
        </w:rPr>
        <w:t xml:space="preserve"> behavior changes as well as the development of i</w:t>
      </w:r>
      <w:r w:rsidR="00C27731" w:rsidRPr="001F4999">
        <w:rPr>
          <w:rFonts w:ascii="Times New Roman" w:hAnsi="Times New Roman" w:cs="Times New Roman"/>
        </w:rPr>
        <w:t>nterventions that are deliverable</w:t>
      </w:r>
      <w:r w:rsidRPr="001F4999">
        <w:rPr>
          <w:rFonts w:ascii="Times New Roman" w:hAnsi="Times New Roman" w:cs="Times New Roman"/>
        </w:rPr>
        <w:t xml:space="preserve"> at the community-</w:t>
      </w:r>
      <w:r w:rsidR="00C27731" w:rsidRPr="001F4999">
        <w:rPr>
          <w:rFonts w:ascii="Times New Roman" w:hAnsi="Times New Roman" w:cs="Times New Roman"/>
        </w:rPr>
        <w:t xml:space="preserve">level </w:t>
      </w:r>
      <w:r w:rsidR="00432370" w:rsidRPr="001F4999">
        <w:rPr>
          <w:rFonts w:ascii="Times New Roman" w:hAnsi="Times New Roman" w:cs="Times New Roman"/>
        </w:rPr>
        <w:t>nationally.</w:t>
      </w:r>
    </w:p>
    <w:p w14:paraId="67721759" w14:textId="77777777" w:rsidR="002D640B" w:rsidRPr="001F4999" w:rsidRDefault="002D640B" w:rsidP="002C38B5">
      <w:pPr>
        <w:spacing w:after="0" w:line="240" w:lineRule="auto"/>
        <w:rPr>
          <w:rFonts w:ascii="Times New Roman" w:hAnsi="Times New Roman" w:cs="Times New Roman"/>
        </w:rPr>
      </w:pPr>
      <w:r w:rsidRPr="001F4999">
        <w:rPr>
          <w:rFonts w:ascii="Times New Roman" w:hAnsi="Times New Roman" w:cs="Times New Roman"/>
        </w:rPr>
        <w:t> </w:t>
      </w:r>
    </w:p>
    <w:p w14:paraId="65769693" w14:textId="36093111" w:rsidR="00814B30" w:rsidRPr="001F4999" w:rsidRDefault="002D640B" w:rsidP="002C38B5">
      <w:pPr>
        <w:spacing w:after="0" w:line="240" w:lineRule="auto"/>
        <w:rPr>
          <w:rFonts w:ascii="Times New Roman" w:hAnsi="Times New Roman" w:cs="Times New Roman"/>
          <w:lang w:val="en"/>
        </w:rPr>
      </w:pPr>
      <w:r w:rsidRPr="001F4999">
        <w:rPr>
          <w:rFonts w:ascii="Times New Roman" w:hAnsi="Times New Roman" w:cs="Times New Roman"/>
          <w:b/>
          <w:bCs/>
        </w:rPr>
        <w:t>METHODS</w:t>
      </w:r>
    </w:p>
    <w:p w14:paraId="183B4D15" w14:textId="75CA1FF6" w:rsidR="00814B30" w:rsidRPr="001F4999" w:rsidRDefault="006E47A1" w:rsidP="00755FA9">
      <w:pPr>
        <w:spacing w:after="0" w:line="240" w:lineRule="auto"/>
        <w:ind w:firstLine="720"/>
        <w:rPr>
          <w:rFonts w:ascii="Times New Roman" w:hAnsi="Times New Roman" w:cs="Times New Roman"/>
          <w:bCs/>
        </w:rPr>
      </w:pPr>
      <w:r w:rsidRPr="001F4999">
        <w:rPr>
          <w:rFonts w:ascii="Times New Roman" w:hAnsi="Times New Roman" w:cs="Times New Roman"/>
        </w:rPr>
        <w:t>T</w:t>
      </w:r>
      <w:r w:rsidR="00814B30" w:rsidRPr="001F4999">
        <w:rPr>
          <w:rFonts w:ascii="Times New Roman" w:hAnsi="Times New Roman" w:cs="Times New Roman"/>
          <w:bCs/>
        </w:rPr>
        <w:t xml:space="preserve">eam members are expected to participate in at least one of the two overarching research objectives. </w:t>
      </w:r>
      <w:r w:rsidR="00814B30" w:rsidRPr="001F4999">
        <w:rPr>
          <w:rFonts w:ascii="Times New Roman" w:hAnsi="Times New Roman" w:cs="Times New Roman"/>
          <w:lang w:val="en"/>
        </w:rPr>
        <w:t xml:space="preserve">The interdisciplinary composition of our team necessitates individual-level research as well as integrative, collaborative projects. </w:t>
      </w:r>
      <w:r w:rsidR="00320311" w:rsidRPr="001F4999">
        <w:rPr>
          <w:rFonts w:ascii="Times New Roman" w:hAnsi="Times New Roman" w:cs="Times New Roman"/>
          <w:lang w:val="en"/>
        </w:rPr>
        <w:t xml:space="preserve">The </w:t>
      </w:r>
      <w:r w:rsidR="00814B30" w:rsidRPr="001F4999">
        <w:rPr>
          <w:rFonts w:ascii="Times New Roman" w:hAnsi="Times New Roman" w:cs="Times New Roman"/>
          <w:lang w:val="en"/>
        </w:rPr>
        <w:t xml:space="preserve">proposed </w:t>
      </w:r>
      <w:r w:rsidR="00730281" w:rsidRPr="001F4999">
        <w:rPr>
          <w:rFonts w:ascii="Times New Roman" w:hAnsi="Times New Roman" w:cs="Times New Roman"/>
          <w:lang w:val="en"/>
        </w:rPr>
        <w:t>activities</w:t>
      </w:r>
      <w:r w:rsidR="00814B30" w:rsidRPr="001F4999">
        <w:rPr>
          <w:rFonts w:ascii="Times New Roman" w:hAnsi="Times New Roman" w:cs="Times New Roman"/>
          <w:lang w:val="en"/>
        </w:rPr>
        <w:t xml:space="preserve"> </w:t>
      </w:r>
      <w:r w:rsidR="00320311" w:rsidRPr="001F4999">
        <w:rPr>
          <w:rFonts w:ascii="Times New Roman" w:hAnsi="Times New Roman" w:cs="Times New Roman"/>
          <w:lang w:val="en"/>
        </w:rPr>
        <w:t>will</w:t>
      </w:r>
      <w:r w:rsidR="00814B30" w:rsidRPr="001F4999">
        <w:rPr>
          <w:rFonts w:ascii="Times New Roman" w:hAnsi="Times New Roman" w:cs="Times New Roman"/>
          <w:lang w:val="en"/>
        </w:rPr>
        <w:t xml:space="preserve"> contribute toward the long-term goal of promoting</w:t>
      </w:r>
      <w:r w:rsidR="00814B30" w:rsidRPr="001F4999">
        <w:rPr>
          <w:rFonts w:ascii="Times New Roman" w:eastAsia="Times New Roman" w:hAnsi="Times New Roman" w:cs="Times New Roman"/>
          <w:bdr w:val="none" w:sz="0" w:space="0" w:color="auto" w:frame="1"/>
        </w:rPr>
        <w:t xml:space="preserve"> the independence and well-being of community-residing aging adults (ages 40 years and older) while</w:t>
      </w:r>
      <w:r w:rsidR="00814B30" w:rsidRPr="001F4999">
        <w:rPr>
          <w:rFonts w:ascii="Times New Roman" w:hAnsi="Times New Roman" w:cs="Times New Roman"/>
          <w:lang w:val="en"/>
        </w:rPr>
        <w:t xml:space="preserve"> enabling researchers to maintain autonomy over their research experiments. </w:t>
      </w:r>
      <w:r w:rsidR="00814B30" w:rsidRPr="001F4999">
        <w:rPr>
          <w:rFonts w:ascii="Times New Roman" w:eastAsia="Times New Roman" w:hAnsi="Times New Roman" w:cs="Times New Roman"/>
          <w:bdr w:val="none" w:sz="0" w:space="0" w:color="auto" w:frame="1"/>
        </w:rPr>
        <w:t xml:space="preserve">For example, many of the laboratory-based projects will take place at the one of three universities (MSU, Ohio State University [OSU], and </w:t>
      </w:r>
      <w:r w:rsidR="000C1EE8" w:rsidRPr="001F4999">
        <w:rPr>
          <w:rFonts w:ascii="Times New Roman" w:eastAsia="Times New Roman" w:hAnsi="Times New Roman" w:cs="Times New Roman"/>
          <w:bdr w:val="none" w:sz="0" w:space="0" w:color="auto" w:frame="1"/>
        </w:rPr>
        <w:t>Rutgers</w:t>
      </w:r>
      <w:r w:rsidR="00814B30" w:rsidRPr="001F4999">
        <w:rPr>
          <w:rFonts w:ascii="Times New Roman" w:eastAsia="Times New Roman" w:hAnsi="Times New Roman" w:cs="Times New Roman"/>
          <w:bdr w:val="none" w:sz="0" w:space="0" w:color="auto" w:frame="1"/>
        </w:rPr>
        <w:t>); however, the</w:t>
      </w:r>
      <w:r w:rsidR="00814B30" w:rsidRPr="001F4999">
        <w:rPr>
          <w:rFonts w:ascii="Times New Roman" w:hAnsi="Times New Roman" w:cs="Times New Roman"/>
          <w:lang w:val="en"/>
        </w:rPr>
        <w:t xml:space="preserve"> formative work being completed in the areas of lipidomics (OSU), selenium (MSU) and telomere length (Rutgers</w:t>
      </w:r>
      <w:r w:rsidR="000C1EE8" w:rsidRPr="001F4999">
        <w:rPr>
          <w:rFonts w:ascii="Times New Roman" w:hAnsi="Times New Roman" w:cs="Times New Roman"/>
          <w:lang w:val="en"/>
        </w:rPr>
        <w:t>, MSU</w:t>
      </w:r>
      <w:r w:rsidR="00814B30" w:rsidRPr="001F4999">
        <w:rPr>
          <w:rFonts w:ascii="Times New Roman" w:hAnsi="Times New Roman" w:cs="Times New Roman"/>
          <w:lang w:val="en"/>
        </w:rPr>
        <w:t xml:space="preserve">) will inform our intervention strategies. It is also anticipated that </w:t>
      </w:r>
      <w:r w:rsidRPr="001F4999">
        <w:rPr>
          <w:rFonts w:ascii="Times New Roman" w:hAnsi="Times New Roman" w:cs="Times New Roman"/>
          <w:lang w:val="en"/>
        </w:rPr>
        <w:t xml:space="preserve">some of </w:t>
      </w:r>
      <w:r w:rsidR="00814B30" w:rsidRPr="001F4999">
        <w:rPr>
          <w:rFonts w:ascii="Times New Roman" w:hAnsi="Times New Roman" w:cs="Times New Roman"/>
          <w:lang w:val="en"/>
        </w:rPr>
        <w:t>our lifestyle intervention researchers</w:t>
      </w:r>
      <w:r w:rsidR="000C1EE8" w:rsidRPr="001F4999">
        <w:rPr>
          <w:rFonts w:ascii="Times New Roman" w:hAnsi="Times New Roman" w:cs="Times New Roman"/>
          <w:lang w:val="en"/>
        </w:rPr>
        <w:t xml:space="preserve"> </w:t>
      </w:r>
      <w:r w:rsidR="00814B30" w:rsidRPr="001F4999">
        <w:rPr>
          <w:rFonts w:ascii="Times New Roman" w:hAnsi="Times New Roman" w:cs="Times New Roman"/>
          <w:lang w:val="en"/>
        </w:rPr>
        <w:t xml:space="preserve">will work with </w:t>
      </w:r>
      <w:r w:rsidRPr="001F4999">
        <w:rPr>
          <w:rFonts w:ascii="Times New Roman" w:hAnsi="Times New Roman" w:cs="Times New Roman"/>
          <w:lang w:val="en"/>
        </w:rPr>
        <w:t>our</w:t>
      </w:r>
      <w:r w:rsidR="00814B30" w:rsidRPr="001F4999">
        <w:rPr>
          <w:rFonts w:ascii="Times New Roman" w:hAnsi="Times New Roman" w:cs="Times New Roman"/>
          <w:lang w:val="en"/>
        </w:rPr>
        <w:t xml:space="preserve"> </w:t>
      </w:r>
      <w:r w:rsidR="006D7F49" w:rsidRPr="001F4999">
        <w:rPr>
          <w:rFonts w:ascii="Times New Roman" w:hAnsi="Times New Roman" w:cs="Times New Roman"/>
          <w:lang w:val="en"/>
        </w:rPr>
        <w:t>molecular biologists</w:t>
      </w:r>
      <w:r w:rsidRPr="001F4999">
        <w:rPr>
          <w:rFonts w:ascii="Times New Roman" w:hAnsi="Times New Roman" w:cs="Times New Roman"/>
          <w:lang w:val="en"/>
        </w:rPr>
        <w:t xml:space="preserve"> </w:t>
      </w:r>
      <w:r w:rsidR="006D7F49" w:rsidRPr="001F4999">
        <w:rPr>
          <w:rFonts w:ascii="Times New Roman" w:hAnsi="Times New Roman" w:cs="Times New Roman"/>
          <w:lang w:val="en"/>
        </w:rPr>
        <w:t>an</w:t>
      </w:r>
      <w:r w:rsidR="0072726A" w:rsidRPr="001F4999">
        <w:rPr>
          <w:rFonts w:ascii="Times New Roman" w:hAnsi="Times New Roman" w:cs="Times New Roman"/>
          <w:lang w:val="en"/>
        </w:rPr>
        <w:t xml:space="preserve">d </w:t>
      </w:r>
      <w:r w:rsidR="00814B30" w:rsidRPr="001F4999">
        <w:rPr>
          <w:rFonts w:ascii="Times New Roman" w:hAnsi="Times New Roman" w:cs="Times New Roman"/>
          <w:lang w:val="en"/>
        </w:rPr>
        <w:t>nutritional scientists</w:t>
      </w:r>
      <w:r w:rsidRPr="001F4999">
        <w:rPr>
          <w:rFonts w:ascii="Times New Roman" w:hAnsi="Times New Roman" w:cs="Times New Roman"/>
          <w:lang w:val="en"/>
        </w:rPr>
        <w:t xml:space="preserve"> </w:t>
      </w:r>
      <w:r w:rsidR="00814B30" w:rsidRPr="001F4999">
        <w:rPr>
          <w:rFonts w:ascii="Times New Roman" w:hAnsi="Times New Roman" w:cs="Times New Roman"/>
          <w:lang w:val="en"/>
        </w:rPr>
        <w:t xml:space="preserve">to </w:t>
      </w:r>
      <w:r w:rsidRPr="001F4999">
        <w:rPr>
          <w:rFonts w:ascii="Times New Roman" w:hAnsi="Times New Roman" w:cs="Times New Roman"/>
          <w:lang w:val="en"/>
        </w:rPr>
        <w:t>conduct</w:t>
      </w:r>
      <w:r w:rsidR="00814B30" w:rsidRPr="001F4999">
        <w:rPr>
          <w:rFonts w:ascii="Times New Roman" w:hAnsi="Times New Roman" w:cs="Times New Roman"/>
          <w:lang w:val="en"/>
        </w:rPr>
        <w:t xml:space="preserve"> specialized laboratory tests in addition to the traditional blood tests when examining the impact of dietary and physical activity programming.</w:t>
      </w:r>
      <w:r w:rsidR="00755FA9" w:rsidRPr="001F4999">
        <w:rPr>
          <w:rFonts w:ascii="Times New Roman" w:hAnsi="Times New Roman" w:cs="Times New Roman"/>
          <w:lang w:val="en"/>
        </w:rPr>
        <w:t xml:space="preserve"> Finally, e</w:t>
      </w:r>
      <w:r w:rsidR="00755FA9" w:rsidRPr="001F4999">
        <w:rPr>
          <w:rFonts w:ascii="Times New Roman" w:hAnsi="Times New Roman" w:cs="Times New Roman"/>
        </w:rPr>
        <w:t>stablishing one standardized set of inclusion criteria for human subjects</w:t>
      </w:r>
      <w:r w:rsidR="00E24757" w:rsidRPr="001F4999">
        <w:rPr>
          <w:rFonts w:ascii="Times New Roman" w:hAnsi="Times New Roman" w:cs="Times New Roman"/>
        </w:rPr>
        <w:t xml:space="preserve"> conducted as part of this project is not feasible given the anticipated </w:t>
      </w:r>
      <w:r w:rsidR="00755FA9" w:rsidRPr="001F4999">
        <w:rPr>
          <w:rFonts w:ascii="Times New Roman" w:hAnsi="Times New Roman" w:cs="Times New Roman"/>
        </w:rPr>
        <w:t xml:space="preserve">blend of </w:t>
      </w:r>
      <w:r w:rsidR="00755FA9" w:rsidRPr="001F4999">
        <w:rPr>
          <w:rFonts w:ascii="Times New Roman" w:hAnsi="Times New Roman" w:cs="Times New Roman"/>
          <w:lang w:val="en"/>
        </w:rPr>
        <w:t xml:space="preserve">individual-level </w:t>
      </w:r>
      <w:r w:rsidR="00E24757" w:rsidRPr="001F4999">
        <w:rPr>
          <w:rFonts w:ascii="Times New Roman" w:hAnsi="Times New Roman" w:cs="Times New Roman"/>
          <w:lang w:val="en"/>
        </w:rPr>
        <w:t xml:space="preserve">and collaborative </w:t>
      </w:r>
      <w:r w:rsidR="00755FA9" w:rsidRPr="001F4999">
        <w:rPr>
          <w:rFonts w:ascii="Times New Roman" w:hAnsi="Times New Roman" w:cs="Times New Roman"/>
          <w:lang w:val="en"/>
        </w:rPr>
        <w:t>research</w:t>
      </w:r>
      <w:r w:rsidR="00E24757" w:rsidRPr="001F4999">
        <w:rPr>
          <w:rFonts w:ascii="Times New Roman" w:hAnsi="Times New Roman" w:cs="Times New Roman"/>
          <w:lang w:val="en"/>
        </w:rPr>
        <w:t xml:space="preserve"> as well as target behaviors. Therefore, the recruitment strategies utilized may vary by study </w:t>
      </w:r>
      <w:r w:rsidR="003A4933" w:rsidRPr="001F4999">
        <w:rPr>
          <w:rFonts w:ascii="Times New Roman" w:hAnsi="Times New Roman" w:cs="Times New Roman"/>
          <w:lang w:val="en"/>
        </w:rPr>
        <w:t>(Appendix A</w:t>
      </w:r>
      <w:r w:rsidR="00E24757" w:rsidRPr="001F4999">
        <w:rPr>
          <w:rFonts w:ascii="Times New Roman" w:hAnsi="Times New Roman" w:cs="Times New Roman"/>
          <w:lang w:val="en"/>
        </w:rPr>
        <w:t>).</w:t>
      </w:r>
    </w:p>
    <w:p w14:paraId="3608DCAC" w14:textId="77777777" w:rsidR="00814B30" w:rsidRPr="001F4999" w:rsidRDefault="00814B30" w:rsidP="002C38B5">
      <w:pPr>
        <w:spacing w:after="0" w:line="240" w:lineRule="auto"/>
        <w:rPr>
          <w:rFonts w:ascii="Times New Roman" w:hAnsi="Times New Roman" w:cs="Times New Roman"/>
          <w:bCs/>
        </w:rPr>
      </w:pPr>
    </w:p>
    <w:p w14:paraId="0D067540" w14:textId="21FB1963" w:rsidR="00814B30" w:rsidRPr="001F4999" w:rsidRDefault="00814B30" w:rsidP="002C38B5">
      <w:pPr>
        <w:spacing w:after="0" w:line="240" w:lineRule="auto"/>
        <w:rPr>
          <w:rFonts w:ascii="Times New Roman" w:hAnsi="Times New Roman" w:cs="Times New Roman"/>
          <w:bCs/>
        </w:rPr>
      </w:pPr>
      <w:r w:rsidRPr="001F4999">
        <w:rPr>
          <w:rFonts w:ascii="Times New Roman" w:hAnsi="Times New Roman" w:cs="Times New Roman"/>
          <w:b/>
          <w:bCs/>
        </w:rPr>
        <w:t xml:space="preserve">Objective 1: To conduct multidimensional assessments of diet, physical activity and related factors </w:t>
      </w:r>
      <w:r w:rsidR="005E001A" w:rsidRPr="001F4999">
        <w:rPr>
          <w:rFonts w:ascii="Times New Roman" w:hAnsi="Times New Roman" w:cs="Times New Roman"/>
          <w:b/>
          <w:bCs/>
        </w:rPr>
        <w:t xml:space="preserve">affecting </w:t>
      </w:r>
      <w:r w:rsidRPr="001F4999">
        <w:rPr>
          <w:rFonts w:ascii="Times New Roman" w:hAnsi="Times New Roman" w:cs="Times New Roman"/>
          <w:b/>
          <w:bCs/>
        </w:rPr>
        <w:t>aging adults.</w:t>
      </w:r>
      <w:r w:rsidRPr="001F4999">
        <w:rPr>
          <w:rFonts w:ascii="Times New Roman" w:hAnsi="Times New Roman" w:cs="Times New Roman"/>
          <w:bCs/>
        </w:rPr>
        <w:t xml:space="preserve"> These multidimensional assessments will explore molecular, community, and individual factors thus providing a comprehensive assessment. This approach will entail three overarching </w:t>
      </w:r>
      <w:r w:rsidR="000C1EE8" w:rsidRPr="001F4999">
        <w:rPr>
          <w:rFonts w:ascii="Times New Roman" w:hAnsi="Times New Roman" w:cs="Times New Roman"/>
          <w:bCs/>
        </w:rPr>
        <w:t>areas</w:t>
      </w:r>
      <w:r w:rsidRPr="001F4999">
        <w:rPr>
          <w:rFonts w:ascii="Times New Roman" w:hAnsi="Times New Roman" w:cs="Times New Roman"/>
          <w:bCs/>
        </w:rPr>
        <w:t xml:space="preserve">. </w:t>
      </w:r>
    </w:p>
    <w:p w14:paraId="4BCCC5A8" w14:textId="3B628DCC" w:rsidR="00814B30" w:rsidRPr="001F4999" w:rsidRDefault="000C1EE8" w:rsidP="00B67C25">
      <w:pPr>
        <w:pStyle w:val="ListParagraph"/>
        <w:numPr>
          <w:ilvl w:val="0"/>
          <w:numId w:val="14"/>
        </w:numPr>
        <w:spacing w:after="0" w:line="240" w:lineRule="auto"/>
        <w:rPr>
          <w:rFonts w:ascii="Times New Roman" w:hAnsi="Times New Roman"/>
        </w:rPr>
      </w:pPr>
      <w:r w:rsidRPr="001F4999">
        <w:rPr>
          <w:rFonts w:ascii="Times New Roman" w:hAnsi="Times New Roman"/>
          <w:bCs/>
          <w:u w:val="single"/>
        </w:rPr>
        <w:t>AREA</w:t>
      </w:r>
      <w:r w:rsidR="005E001A" w:rsidRPr="001F4999">
        <w:rPr>
          <w:rFonts w:ascii="Times New Roman" w:hAnsi="Times New Roman"/>
          <w:bCs/>
          <w:u w:val="single"/>
        </w:rPr>
        <w:t xml:space="preserve"> 1</w:t>
      </w:r>
      <w:r w:rsidR="005E001A" w:rsidRPr="001F4999">
        <w:rPr>
          <w:rFonts w:ascii="Times New Roman" w:hAnsi="Times New Roman"/>
          <w:bCs/>
        </w:rPr>
        <w:t xml:space="preserve"> involves performing molecular assessments on aging adults as a means to better inform participants’ activities and diet choices.  Diet and exercise ultimately affect physiology on the molecular and cellular level and specific biomarkers are often the best predictors of whether certain diet and exercise modifications are beneficial.  To accomplish </w:t>
      </w:r>
      <w:r w:rsidR="00D40306" w:rsidRPr="001F4999">
        <w:rPr>
          <w:rFonts w:ascii="Times New Roman" w:hAnsi="Times New Roman"/>
          <w:bCs/>
        </w:rPr>
        <w:t>A</w:t>
      </w:r>
      <w:r w:rsidR="00B67C25" w:rsidRPr="001F4999">
        <w:rPr>
          <w:rFonts w:ascii="Times New Roman" w:hAnsi="Times New Roman"/>
          <w:bCs/>
        </w:rPr>
        <w:t xml:space="preserve">rea </w:t>
      </w:r>
      <w:r w:rsidR="005E001A" w:rsidRPr="001F4999">
        <w:rPr>
          <w:rFonts w:ascii="Times New Roman" w:hAnsi="Times New Roman"/>
          <w:bCs/>
        </w:rPr>
        <w:t xml:space="preserve">1, routine assessments of telomere length </w:t>
      </w:r>
      <w:r w:rsidR="00B15CBA" w:rsidRPr="001F4999">
        <w:rPr>
          <w:rFonts w:ascii="Times New Roman" w:hAnsi="Times New Roman"/>
          <w:bCs/>
        </w:rPr>
        <w:t xml:space="preserve">(Leukocyte Telomere Length [LTL] assay) </w:t>
      </w:r>
      <w:r w:rsidR="005E001A" w:rsidRPr="001F4999">
        <w:rPr>
          <w:rFonts w:ascii="Times New Roman" w:hAnsi="Times New Roman"/>
          <w:bCs/>
        </w:rPr>
        <w:t>will be coupled with assays that monitor markers of inflammation</w:t>
      </w:r>
      <w:r w:rsidR="00B15CBA" w:rsidRPr="001F4999">
        <w:rPr>
          <w:rFonts w:ascii="Times New Roman" w:hAnsi="Times New Roman"/>
          <w:bCs/>
        </w:rPr>
        <w:t xml:space="preserve"> (CRP, Fibrinogen, IL-6, and TNF</w:t>
      </w:r>
      <w:r w:rsidR="00B15CBA" w:rsidRPr="001F4999">
        <w:rPr>
          <w:rFonts w:ascii="Times New Roman" w:hAnsi="Times New Roman"/>
          <w:bCs/>
        </w:rPr>
        <w:sym w:font="Symbol" w:char="F067"/>
      </w:r>
      <w:r w:rsidR="00B15CBA" w:rsidRPr="001F4999">
        <w:rPr>
          <w:rFonts w:ascii="Times New Roman" w:hAnsi="Times New Roman"/>
          <w:bCs/>
        </w:rPr>
        <w:t>)</w:t>
      </w:r>
      <w:r w:rsidR="005E001A" w:rsidRPr="001F4999">
        <w:rPr>
          <w:rFonts w:ascii="Times New Roman" w:hAnsi="Times New Roman"/>
          <w:bCs/>
        </w:rPr>
        <w:t>.  The purpose of these assays will help predict the best diet and activity interventions for the participants and educate them on best practices to increase health span and independent living.</w:t>
      </w:r>
      <w:r w:rsidR="00B15CBA" w:rsidRPr="001F4999">
        <w:rPr>
          <w:rFonts w:ascii="Times New Roman" w:hAnsi="Times New Roman"/>
          <w:bCs/>
        </w:rPr>
        <w:t xml:space="preserve"> </w:t>
      </w:r>
      <w:r w:rsidR="00B67C25" w:rsidRPr="001F4999">
        <w:rPr>
          <w:rFonts w:ascii="Times New Roman" w:hAnsi="Times New Roman"/>
          <w:bCs/>
        </w:rPr>
        <w:t xml:space="preserve">In particular, Wu and others </w:t>
      </w:r>
      <w:r w:rsidR="00D40306" w:rsidRPr="001F4999">
        <w:rPr>
          <w:rFonts w:ascii="Times New Roman" w:hAnsi="Times New Roman"/>
          <w:vertAlign w:val="superscript"/>
          <w:lang w:val="en"/>
        </w:rPr>
        <w:t>67</w:t>
      </w:r>
      <w:r w:rsidR="00D40306" w:rsidRPr="001F4999">
        <w:rPr>
          <w:rFonts w:ascii="Times New Roman" w:hAnsi="Times New Roman"/>
          <w:lang w:val="en"/>
        </w:rPr>
        <w:t xml:space="preserve">, </w:t>
      </w:r>
      <w:r w:rsidR="00B67C25" w:rsidRPr="001F4999">
        <w:rPr>
          <w:rFonts w:ascii="Times New Roman" w:hAnsi="Times New Roman"/>
          <w:bCs/>
        </w:rPr>
        <w:t xml:space="preserve">have reported dietary selenium deficiency shortens telomere length in the highly proliferative colonocytes and accelerates incidence of such age-related symptoms of telomere-humanized mice. This provides an opportunity to assess whether telomere length is associated with blood selenium status in aging adults. </w:t>
      </w:r>
      <w:r w:rsidR="00A939E9" w:rsidRPr="001F4999">
        <w:rPr>
          <w:rFonts w:ascii="Times New Roman" w:hAnsi="Times New Roman"/>
          <w:bCs/>
        </w:rPr>
        <w:t xml:space="preserve">Muscle mass will be estimated using bioelectrical </w:t>
      </w:r>
      <w:r w:rsidR="001845A5" w:rsidRPr="001F4999">
        <w:rPr>
          <w:rFonts w:ascii="Times New Roman" w:hAnsi="Times New Roman"/>
          <w:bCs/>
        </w:rPr>
        <w:t>impedance</w:t>
      </w:r>
      <w:r w:rsidR="00A939E9" w:rsidRPr="001F4999">
        <w:rPr>
          <w:rFonts w:ascii="Times New Roman" w:hAnsi="Times New Roman"/>
          <w:bCs/>
        </w:rPr>
        <w:t xml:space="preserve"> or skin fold and circumference measurements.  Muscle function will be measured using grip strength, a criterion of the FNIH definition of sarcopenia</w:t>
      </w:r>
      <w:r w:rsidR="00BA2D88" w:rsidRPr="001F4999">
        <w:rPr>
          <w:rFonts w:ascii="Times New Roman" w:hAnsi="Times New Roman"/>
          <w:bCs/>
        </w:rPr>
        <w:t xml:space="preserve"> </w:t>
      </w:r>
      <w:r w:rsidR="00D40306" w:rsidRPr="001F4999">
        <w:rPr>
          <w:rFonts w:ascii="Times New Roman" w:hAnsi="Times New Roman"/>
          <w:vertAlign w:val="superscript"/>
          <w:lang w:val="en"/>
        </w:rPr>
        <w:t>57</w:t>
      </w:r>
      <w:r w:rsidR="00A939E9" w:rsidRPr="001F4999">
        <w:rPr>
          <w:rFonts w:ascii="Times New Roman" w:hAnsi="Times New Roman"/>
          <w:bCs/>
        </w:rPr>
        <w:t xml:space="preserve"> will be used to assess muscle function</w:t>
      </w:r>
      <w:r w:rsidR="00BA2D88" w:rsidRPr="001F4999">
        <w:rPr>
          <w:rFonts w:ascii="Times New Roman" w:hAnsi="Times New Roman"/>
          <w:bCs/>
        </w:rPr>
        <w:t xml:space="preserve"> </w:t>
      </w:r>
      <w:r w:rsidR="00D40306" w:rsidRPr="001F4999">
        <w:rPr>
          <w:rFonts w:ascii="Times New Roman" w:hAnsi="Times New Roman"/>
          <w:vertAlign w:val="superscript"/>
          <w:lang w:val="en"/>
        </w:rPr>
        <w:t>9, 66</w:t>
      </w:r>
      <w:r w:rsidRPr="001F4999">
        <w:rPr>
          <w:rFonts w:ascii="Times New Roman" w:hAnsi="Times New Roman"/>
          <w:bCs/>
        </w:rPr>
        <w:t xml:space="preserve">. </w:t>
      </w:r>
      <w:r w:rsidR="00A939E9" w:rsidRPr="001F4999">
        <w:rPr>
          <w:rFonts w:ascii="Times New Roman" w:hAnsi="Times New Roman"/>
          <w:bCs/>
        </w:rPr>
        <w:t xml:space="preserve">Peripheral blood lymphocytes collected at the same time as plasma for </w:t>
      </w:r>
      <w:r w:rsidR="00A939E9" w:rsidRPr="001F4999">
        <w:rPr>
          <w:rFonts w:ascii="Times New Roman" w:hAnsi="Times New Roman"/>
          <w:bCs/>
        </w:rPr>
        <w:lastRenderedPageBreak/>
        <w:t xml:space="preserve">markers of inflammation and telomere length (above) will be analyzed for mitochondrial enzyme activity (e.g., citrate synthase activity </w:t>
      </w:r>
      <w:r w:rsidR="00D40306" w:rsidRPr="001F4999">
        <w:rPr>
          <w:rFonts w:ascii="Times New Roman" w:hAnsi="Times New Roman"/>
          <w:vertAlign w:val="superscript"/>
          <w:lang w:val="en"/>
        </w:rPr>
        <w:t>54</w:t>
      </w:r>
      <w:r w:rsidR="00A939E9" w:rsidRPr="001F4999">
        <w:rPr>
          <w:rFonts w:ascii="Times New Roman" w:hAnsi="Times New Roman"/>
          <w:bCs/>
        </w:rPr>
        <w:t>.  Targeted lipidomics of mitochondrial fractions from peripheral blood lymphocytes will identify mitochondrial phospholipids that are modified by dietary lipids</w:t>
      </w:r>
      <w:r w:rsidRPr="001F4999">
        <w:rPr>
          <w:rFonts w:ascii="Times New Roman" w:hAnsi="Times New Roman"/>
          <w:bCs/>
        </w:rPr>
        <w:t xml:space="preserve"> </w:t>
      </w:r>
      <w:r w:rsidR="00D40306" w:rsidRPr="001F4999">
        <w:rPr>
          <w:rFonts w:ascii="Times New Roman" w:hAnsi="Times New Roman"/>
          <w:vertAlign w:val="superscript"/>
          <w:lang w:val="en"/>
        </w:rPr>
        <w:t>35</w:t>
      </w:r>
      <w:r w:rsidR="00D40306" w:rsidRPr="001F4999">
        <w:rPr>
          <w:rFonts w:ascii="Times New Roman" w:hAnsi="Times New Roman"/>
          <w:bCs/>
        </w:rPr>
        <w:t xml:space="preserve">. </w:t>
      </w:r>
    </w:p>
    <w:p w14:paraId="09C79AB9" w14:textId="6D550466" w:rsidR="00814B30" w:rsidRPr="001F4999" w:rsidRDefault="000C1EE8" w:rsidP="002C38B5">
      <w:pPr>
        <w:pStyle w:val="ListParagraph"/>
        <w:numPr>
          <w:ilvl w:val="0"/>
          <w:numId w:val="14"/>
        </w:numPr>
        <w:spacing w:after="0" w:line="240" w:lineRule="auto"/>
        <w:rPr>
          <w:rFonts w:ascii="Times New Roman" w:hAnsi="Times New Roman"/>
        </w:rPr>
      </w:pPr>
      <w:r w:rsidRPr="001F4999">
        <w:rPr>
          <w:rFonts w:ascii="Times New Roman" w:hAnsi="Times New Roman"/>
          <w:bCs/>
          <w:u w:val="single"/>
        </w:rPr>
        <w:t>AREA</w:t>
      </w:r>
      <w:r w:rsidR="00814B30" w:rsidRPr="001F4999">
        <w:rPr>
          <w:rFonts w:ascii="Times New Roman" w:hAnsi="Times New Roman"/>
          <w:bCs/>
          <w:u w:val="single"/>
        </w:rPr>
        <w:t xml:space="preserve"> 2</w:t>
      </w:r>
      <w:r w:rsidR="00814B30" w:rsidRPr="001F4999">
        <w:rPr>
          <w:rFonts w:ascii="Times New Roman" w:hAnsi="Times New Roman"/>
          <w:bCs/>
        </w:rPr>
        <w:t xml:space="preserve"> includes conducting needs and preference assessments to determine aging adults’ perceptions and recommendations for community environmental supports for a food secure, culturally appropriate and health</w:t>
      </w:r>
      <w:r w:rsidR="00CA23F5" w:rsidRPr="001F4999">
        <w:rPr>
          <w:rFonts w:ascii="Times New Roman" w:hAnsi="Times New Roman"/>
          <w:bCs/>
        </w:rPr>
        <w:t>y</w:t>
      </w:r>
      <w:r w:rsidR="00814B30" w:rsidRPr="001F4999">
        <w:rPr>
          <w:rFonts w:ascii="Times New Roman" w:hAnsi="Times New Roman"/>
          <w:bCs/>
        </w:rPr>
        <w:t xml:space="preserve"> eating environments.</w:t>
      </w:r>
      <w:r w:rsidR="00730281" w:rsidRPr="001F4999">
        <w:rPr>
          <w:rFonts w:ascii="Times New Roman" w:hAnsi="Times New Roman"/>
          <w:bCs/>
        </w:rPr>
        <w:t xml:space="preserve"> </w:t>
      </w:r>
      <w:r w:rsidR="00730281" w:rsidRPr="001F4999">
        <w:rPr>
          <w:rFonts w:ascii="Times New Roman" w:hAnsi="Times New Roman"/>
        </w:rPr>
        <w:t xml:space="preserve">Improving the general health, functionality and the quality of life </w:t>
      </w:r>
      <w:r w:rsidR="00D40306" w:rsidRPr="001F4999">
        <w:rPr>
          <w:rFonts w:ascii="Times New Roman" w:hAnsi="Times New Roman"/>
        </w:rPr>
        <w:t xml:space="preserve">(QOL) </w:t>
      </w:r>
      <w:r w:rsidR="00730281" w:rsidRPr="001F4999">
        <w:rPr>
          <w:rFonts w:ascii="Times New Roman" w:hAnsi="Times New Roman"/>
        </w:rPr>
        <w:t xml:space="preserve">of aging adults is a Healthy People 2020 goal </w:t>
      </w:r>
      <w:r w:rsidR="00D40306" w:rsidRPr="001F4999">
        <w:rPr>
          <w:rFonts w:ascii="Times New Roman" w:hAnsi="Times New Roman"/>
          <w:vertAlign w:val="superscript"/>
        </w:rPr>
        <w:t>19, 64</w:t>
      </w:r>
      <w:r w:rsidR="00730281" w:rsidRPr="001F4999">
        <w:rPr>
          <w:rFonts w:ascii="Times New Roman" w:hAnsi="Times New Roman"/>
        </w:rPr>
        <w:t xml:space="preserve">. In order to achieve this, social determinants of health (circumstances in the environment in which people are born, live, learn, work, worship and age) must be considered. </w:t>
      </w:r>
      <w:r w:rsidR="00814B30" w:rsidRPr="001F4999">
        <w:rPr>
          <w:rFonts w:ascii="Times New Roman" w:hAnsi="Times New Roman"/>
          <w:bCs/>
        </w:rPr>
        <w:t xml:space="preserve"> The purpose of these studies is to identify the most important and modifiable enablers and behavioral of health</w:t>
      </w:r>
      <w:r w:rsidR="005E1728" w:rsidRPr="001F4999">
        <w:rPr>
          <w:rFonts w:ascii="Times New Roman" w:hAnsi="Times New Roman"/>
          <w:bCs/>
        </w:rPr>
        <w:t>y</w:t>
      </w:r>
      <w:r w:rsidR="00814B30" w:rsidRPr="001F4999">
        <w:rPr>
          <w:rFonts w:ascii="Times New Roman" w:hAnsi="Times New Roman"/>
          <w:bCs/>
        </w:rPr>
        <w:t xml:space="preserve"> eating among aging adults. </w:t>
      </w:r>
      <w:r w:rsidR="00814B30" w:rsidRPr="001F4999">
        <w:rPr>
          <w:rFonts w:ascii="Times New Roman" w:hAnsi="Times New Roman"/>
        </w:rPr>
        <w:t xml:space="preserve">To accomplish this, mixed methodology approaches will be used, including both qualitative and quantitative methods such as focus groups and consumer surveys. Qualitative methodology is an effective way to engage groups of people in a conversation about topics in which there are gaps in the literature and results can be useful as formative data to create surveys. We anticipate that focus groups would include six to eight people and do as many as needed to reach a saturation point in the data. Saturation occurs when further data collection does not provide new knowledge. Open-ended questions will be used and questions will be developed to answer gaps in the literature review. All focus group discussions will be transcribed verbatim and </w:t>
      </w:r>
      <w:r w:rsidR="00D40306" w:rsidRPr="001F4999">
        <w:rPr>
          <w:rFonts w:ascii="Times New Roman" w:hAnsi="Times New Roman"/>
        </w:rPr>
        <w:t xml:space="preserve">will be analyzed using standard focus group protocols. </w:t>
      </w:r>
      <w:r w:rsidR="00814B30" w:rsidRPr="001F4999">
        <w:rPr>
          <w:rFonts w:ascii="Times New Roman" w:hAnsi="Times New Roman"/>
        </w:rPr>
        <w:t xml:space="preserve">Themes will then be identified from the most prevalent codes found amongst the transcriptions. </w:t>
      </w:r>
      <w:r w:rsidR="005E1728" w:rsidRPr="001F4999">
        <w:rPr>
          <w:rFonts w:ascii="Times New Roman" w:hAnsi="Times New Roman"/>
        </w:rPr>
        <w:t xml:space="preserve">Expanding on the </w:t>
      </w:r>
      <w:r w:rsidR="00D40306" w:rsidRPr="001F4999">
        <w:rPr>
          <w:rFonts w:ascii="Times New Roman" w:hAnsi="Times New Roman"/>
        </w:rPr>
        <w:t xml:space="preserve">NE-1439 </w:t>
      </w:r>
      <w:r w:rsidR="005E1728" w:rsidRPr="001F4999">
        <w:rPr>
          <w:rFonts w:ascii="Times New Roman" w:hAnsi="Times New Roman"/>
        </w:rPr>
        <w:t>produ</w:t>
      </w:r>
      <w:r w:rsidRPr="001F4999">
        <w:rPr>
          <w:rFonts w:ascii="Times New Roman" w:hAnsi="Times New Roman"/>
        </w:rPr>
        <w:t>ce access questionnaire project additional</w:t>
      </w:r>
      <w:r w:rsidR="005E1728" w:rsidRPr="001F4999">
        <w:rPr>
          <w:rFonts w:ascii="Times New Roman" w:hAnsi="Times New Roman"/>
        </w:rPr>
        <w:t xml:space="preserve"> c</w:t>
      </w:r>
      <w:r w:rsidR="00814B30" w:rsidRPr="001F4999">
        <w:rPr>
          <w:rFonts w:ascii="Times New Roman" w:hAnsi="Times New Roman"/>
        </w:rPr>
        <w:t>onsumer surveys will be developed</w:t>
      </w:r>
      <w:r w:rsidRPr="001F4999">
        <w:rPr>
          <w:rFonts w:ascii="Times New Roman" w:hAnsi="Times New Roman"/>
        </w:rPr>
        <w:t xml:space="preserve"> using l</w:t>
      </w:r>
      <w:r w:rsidR="00814B30" w:rsidRPr="001F4999">
        <w:rPr>
          <w:rFonts w:ascii="Times New Roman" w:hAnsi="Times New Roman"/>
        </w:rPr>
        <w:t>iterature reviews, formative data from focus group discussions, or from community service providers or community members in the rural and urban regions of the participating states</w:t>
      </w:r>
      <w:r w:rsidR="00FD364E" w:rsidRPr="001F4999">
        <w:rPr>
          <w:rFonts w:ascii="Times New Roman" w:hAnsi="Times New Roman"/>
        </w:rPr>
        <w:t xml:space="preserve">. These surveys will </w:t>
      </w:r>
      <w:r w:rsidR="00814B30" w:rsidRPr="001F4999">
        <w:rPr>
          <w:rFonts w:ascii="Times New Roman" w:hAnsi="Times New Roman"/>
        </w:rPr>
        <w:t xml:space="preserve">highlight the most important and modifiable community settings to improve food access and dietary behaviors </w:t>
      </w:r>
      <w:r w:rsidR="00FD364E" w:rsidRPr="001F4999">
        <w:rPr>
          <w:rFonts w:ascii="Times New Roman" w:hAnsi="Times New Roman"/>
        </w:rPr>
        <w:t xml:space="preserve">in older adults. </w:t>
      </w:r>
      <w:r w:rsidR="00814B30" w:rsidRPr="001F4999">
        <w:rPr>
          <w:rFonts w:ascii="Times New Roman" w:hAnsi="Times New Roman"/>
        </w:rPr>
        <w:t xml:space="preserve">Surveys will be pretested for clarity and reliability and then administered to consumers </w:t>
      </w:r>
      <w:r w:rsidR="005E1728" w:rsidRPr="001F4999">
        <w:rPr>
          <w:rFonts w:ascii="Times New Roman" w:hAnsi="Times New Roman"/>
        </w:rPr>
        <w:t xml:space="preserve">receiving services through home-delivered meal programs (e.g., Meals on Wheels), </w:t>
      </w:r>
      <w:r w:rsidR="00814B30" w:rsidRPr="001F4999">
        <w:rPr>
          <w:rFonts w:ascii="Times New Roman" w:hAnsi="Times New Roman"/>
        </w:rPr>
        <w:t>congregate meal sites, food pantries, senior centers, and other community centers serving older a</w:t>
      </w:r>
      <w:r w:rsidR="00364A85" w:rsidRPr="001F4999">
        <w:rPr>
          <w:rFonts w:ascii="Times New Roman" w:hAnsi="Times New Roman"/>
        </w:rPr>
        <w:t xml:space="preserve">dults in participating states. </w:t>
      </w:r>
      <w:r w:rsidR="00814B30" w:rsidRPr="001F4999">
        <w:rPr>
          <w:rFonts w:ascii="Times New Roman" w:hAnsi="Times New Roman"/>
        </w:rPr>
        <w:t xml:space="preserve">Surveys will identify older adults’ use of community supports for healthy eating, identify the types of supports used, identify where seniors access their foods and if they are food secure, and provide recommendations for improvement to foster healthy eating in older adults. </w:t>
      </w:r>
    </w:p>
    <w:p w14:paraId="498752C5" w14:textId="564F86D5" w:rsidR="00814B30" w:rsidRPr="001F4999" w:rsidRDefault="00FD364E" w:rsidP="002C38B5">
      <w:pPr>
        <w:pStyle w:val="ListParagraph"/>
        <w:numPr>
          <w:ilvl w:val="0"/>
          <w:numId w:val="14"/>
        </w:numPr>
        <w:spacing w:after="0" w:line="240" w:lineRule="auto"/>
        <w:rPr>
          <w:rFonts w:ascii="Times New Roman" w:hAnsi="Times New Roman"/>
        </w:rPr>
      </w:pPr>
      <w:r w:rsidRPr="001F4999">
        <w:rPr>
          <w:rFonts w:ascii="Times New Roman" w:hAnsi="Times New Roman"/>
          <w:u w:val="single"/>
        </w:rPr>
        <w:t>AREA</w:t>
      </w:r>
      <w:r w:rsidR="00814B30" w:rsidRPr="001F4999">
        <w:rPr>
          <w:rFonts w:ascii="Times New Roman" w:hAnsi="Times New Roman"/>
          <w:u w:val="single"/>
        </w:rPr>
        <w:t xml:space="preserve"> 3</w:t>
      </w:r>
      <w:r w:rsidR="00814B30" w:rsidRPr="001F4999">
        <w:rPr>
          <w:rFonts w:ascii="Times New Roman" w:hAnsi="Times New Roman"/>
        </w:rPr>
        <w:t xml:space="preserve"> entails determining, examining and understanding cultural, personal and accessibility barriers to dietary intakes and physical activity by aging adults. The purpose of these studies is to identify the geographic locations, cultural, and personal characteristics, and attitudes and beliefs that influence dietary behaviors (e.g., the purchase, preparation, and consumption of various foods) and physical activity patterns. Based on these findings, we will propose and implement sustainable methods to eliminate identified barriers, including nutrition education and physical activity interventions. Quantitative and qualitative data will be collected on aging adults. Quantitative data such as demographics, dietary intake, physical activity, food security and food access will be collected using standardized, validated assessment tools across states</w:t>
      </w:r>
      <w:r w:rsidR="0072726A" w:rsidRPr="001F4999">
        <w:rPr>
          <w:rFonts w:ascii="Times New Roman" w:hAnsi="Times New Roman"/>
        </w:rPr>
        <w:t xml:space="preserve"> (</w:t>
      </w:r>
      <w:r w:rsidR="002002FD" w:rsidRPr="001F4999">
        <w:rPr>
          <w:rFonts w:ascii="Times New Roman" w:hAnsi="Times New Roman"/>
        </w:rPr>
        <w:t>See “</w:t>
      </w:r>
      <w:r w:rsidR="0072726A" w:rsidRPr="001F4999">
        <w:rPr>
          <w:rFonts w:ascii="Times New Roman" w:hAnsi="Times New Roman"/>
        </w:rPr>
        <w:t>Survey Tools Description</w:t>
      </w:r>
      <w:r w:rsidR="002002FD" w:rsidRPr="001F4999">
        <w:rPr>
          <w:rFonts w:ascii="Times New Roman" w:hAnsi="Times New Roman"/>
        </w:rPr>
        <w:t>” section</w:t>
      </w:r>
      <w:r w:rsidR="0072726A" w:rsidRPr="001F4999">
        <w:rPr>
          <w:rFonts w:ascii="Times New Roman" w:hAnsi="Times New Roman"/>
        </w:rPr>
        <w:t>)</w:t>
      </w:r>
      <w:r w:rsidR="00814B30" w:rsidRPr="001F4999">
        <w:rPr>
          <w:rFonts w:ascii="Times New Roman" w:hAnsi="Times New Roman"/>
        </w:rPr>
        <w:t>. The methods for qualitative data collection will be focus groups and personal interviews</w:t>
      </w:r>
      <w:r w:rsidR="00D80FE9" w:rsidRPr="001F4999">
        <w:rPr>
          <w:rFonts w:ascii="Times New Roman" w:hAnsi="Times New Roman"/>
        </w:rPr>
        <w:t xml:space="preserve"> as </w:t>
      </w:r>
      <w:r w:rsidRPr="001F4999">
        <w:rPr>
          <w:rFonts w:ascii="Times New Roman" w:hAnsi="Times New Roman"/>
        </w:rPr>
        <w:t xml:space="preserve">described above in </w:t>
      </w:r>
      <w:r w:rsidR="002002FD" w:rsidRPr="001F4999">
        <w:rPr>
          <w:rFonts w:ascii="Times New Roman" w:hAnsi="Times New Roman"/>
        </w:rPr>
        <w:t>Area</w:t>
      </w:r>
      <w:r w:rsidRPr="001F4999">
        <w:rPr>
          <w:rFonts w:ascii="Times New Roman" w:hAnsi="Times New Roman"/>
        </w:rPr>
        <w:t xml:space="preserve"> 2. </w:t>
      </w:r>
      <w:r w:rsidR="00814B30" w:rsidRPr="001F4999">
        <w:rPr>
          <w:rFonts w:ascii="Times New Roman" w:hAnsi="Times New Roman"/>
        </w:rPr>
        <w:t xml:space="preserve">The information obtained through these studies will be shared with team members during the team’s general meetings and the annual meetings. The findings will </w:t>
      </w:r>
      <w:r w:rsidR="00D80FE9" w:rsidRPr="001F4999">
        <w:rPr>
          <w:rFonts w:ascii="Times New Roman" w:hAnsi="Times New Roman"/>
        </w:rPr>
        <w:t xml:space="preserve">be used to inform the </w:t>
      </w:r>
      <w:r w:rsidR="00814B30" w:rsidRPr="001F4999">
        <w:rPr>
          <w:rFonts w:ascii="Times New Roman" w:hAnsi="Times New Roman"/>
        </w:rPr>
        <w:t>studies being conducted under Objective 2.</w:t>
      </w:r>
    </w:p>
    <w:p w14:paraId="677F25CF" w14:textId="77777777" w:rsidR="00814B30" w:rsidRPr="001F4999" w:rsidRDefault="00814B30" w:rsidP="002C38B5">
      <w:pPr>
        <w:spacing w:after="0" w:line="240" w:lineRule="auto"/>
        <w:ind w:left="360"/>
        <w:rPr>
          <w:rFonts w:ascii="Times New Roman" w:hAnsi="Times New Roman" w:cs="Times New Roman"/>
        </w:rPr>
      </w:pPr>
    </w:p>
    <w:p w14:paraId="13DA52AA" w14:textId="2B09A423" w:rsidR="00814B30" w:rsidRPr="001F4999" w:rsidRDefault="00814B30" w:rsidP="002C38B5">
      <w:pPr>
        <w:spacing w:after="0" w:line="240" w:lineRule="auto"/>
        <w:rPr>
          <w:rFonts w:ascii="Times New Roman" w:hAnsi="Times New Roman" w:cs="Times New Roman"/>
        </w:rPr>
      </w:pPr>
      <w:r w:rsidRPr="001F4999">
        <w:rPr>
          <w:rFonts w:ascii="Times New Roman" w:hAnsi="Times New Roman" w:cs="Times New Roman"/>
          <w:b/>
        </w:rPr>
        <w:t>Objective 2: To develop, implement, and evaluate interventions that improve health in aging adults living in rural and urban environments.</w:t>
      </w:r>
      <w:r w:rsidRPr="001F4999">
        <w:rPr>
          <w:rFonts w:ascii="Times New Roman" w:hAnsi="Times New Roman" w:cs="Times New Roman"/>
        </w:rPr>
        <w:t xml:space="preserve"> The growth of the current team (13 states) has resulted in a more diverse make-up of states. This diversity includes population density (urban versus rural). Of the 11 states focused on community-based research, four (36.4%) have rural state populations of 20% and higher </w:t>
      </w:r>
      <w:r w:rsidR="002002FD" w:rsidRPr="001F4999">
        <w:rPr>
          <w:rFonts w:ascii="Times New Roman" w:hAnsi="Times New Roman" w:cs="Times New Roman"/>
          <w:vertAlign w:val="superscript"/>
        </w:rPr>
        <w:t>63</w:t>
      </w:r>
      <w:r w:rsidRPr="001F4999">
        <w:rPr>
          <w:rFonts w:ascii="Times New Roman" w:hAnsi="Times New Roman" w:cs="Times New Roman"/>
        </w:rPr>
        <w:t>. Rural-residing older adults have worse physical health, decreased socialization, and a lower health-</w:t>
      </w:r>
      <w:r w:rsidRPr="001F4999">
        <w:rPr>
          <w:rFonts w:ascii="Times New Roman" w:hAnsi="Times New Roman" w:cs="Times New Roman"/>
        </w:rPr>
        <w:lastRenderedPageBreak/>
        <w:t xml:space="preserve">related quality of life than their urban-residing </w:t>
      </w:r>
      <w:r w:rsidR="004E51F0" w:rsidRPr="001F4999">
        <w:rPr>
          <w:rFonts w:ascii="Times New Roman" w:hAnsi="Times New Roman" w:cs="Times New Roman"/>
        </w:rPr>
        <w:t>counterparts do</w:t>
      </w:r>
      <w:r w:rsidRPr="001F4999">
        <w:rPr>
          <w:rFonts w:ascii="Times New Roman" w:hAnsi="Times New Roman" w:cs="Times New Roman"/>
        </w:rPr>
        <w:t xml:space="preserve"> </w:t>
      </w:r>
      <w:r w:rsidR="002002FD" w:rsidRPr="001F4999">
        <w:rPr>
          <w:rFonts w:ascii="Times New Roman" w:hAnsi="Times New Roman" w:cs="Times New Roman"/>
          <w:vertAlign w:val="superscript"/>
        </w:rPr>
        <w:t>4, 31</w:t>
      </w:r>
      <w:r w:rsidRPr="001F4999">
        <w:rPr>
          <w:rFonts w:ascii="Times New Roman" w:hAnsi="Times New Roman" w:cs="Times New Roman"/>
        </w:rPr>
        <w:t xml:space="preserve">. The proposed </w:t>
      </w:r>
      <w:r w:rsidR="00FD364E" w:rsidRPr="001F4999">
        <w:rPr>
          <w:rFonts w:ascii="Times New Roman" w:hAnsi="Times New Roman" w:cs="Times New Roman"/>
        </w:rPr>
        <w:t>renewal</w:t>
      </w:r>
      <w:r w:rsidRPr="001F4999">
        <w:rPr>
          <w:rFonts w:ascii="Times New Roman" w:hAnsi="Times New Roman" w:cs="Times New Roman"/>
        </w:rPr>
        <w:t xml:space="preserve"> project will begin to examine programs relevance toward both rural and urban environments. </w:t>
      </w:r>
    </w:p>
    <w:p w14:paraId="39A1FCC7" w14:textId="16458161" w:rsidR="00814B30" w:rsidRPr="001F4999" w:rsidRDefault="00FD364E" w:rsidP="002C38B5">
      <w:pPr>
        <w:pStyle w:val="NormalWeb"/>
        <w:numPr>
          <w:ilvl w:val="0"/>
          <w:numId w:val="15"/>
        </w:numPr>
        <w:shd w:val="clear" w:color="auto" w:fill="FFFFFF"/>
        <w:spacing w:before="0" w:beforeAutospacing="0" w:after="0" w:afterAutospacing="0"/>
        <w:rPr>
          <w:sz w:val="22"/>
          <w:szCs w:val="22"/>
        </w:rPr>
      </w:pPr>
      <w:r w:rsidRPr="001F4999">
        <w:rPr>
          <w:sz w:val="22"/>
          <w:szCs w:val="22"/>
          <w:u w:val="single"/>
        </w:rPr>
        <w:t>Area</w:t>
      </w:r>
      <w:r w:rsidR="00814B30" w:rsidRPr="001F4999">
        <w:rPr>
          <w:sz w:val="22"/>
          <w:szCs w:val="22"/>
          <w:u w:val="single"/>
        </w:rPr>
        <w:t xml:space="preserve"> 1</w:t>
      </w:r>
      <w:r w:rsidR="00814B30" w:rsidRPr="001F4999">
        <w:rPr>
          <w:sz w:val="22"/>
          <w:szCs w:val="22"/>
        </w:rPr>
        <w:t xml:space="preserve"> necessitates conducting qualitative and quantitative research examining nutrition- and physical activity related patterns and predictors of healthy aging. The purpose is to identify individual, family, clinical, community and health services nutrition- and physical activity-related factors for successful aging. All states implementing human studies will use the same assessment tools as applicable to the respective studies. </w:t>
      </w:r>
      <w:r w:rsidR="00D70B97" w:rsidRPr="001F4999">
        <w:rPr>
          <w:sz w:val="22"/>
          <w:szCs w:val="22"/>
        </w:rPr>
        <w:t xml:space="preserve">These common assessment tools reflect the core variables being addressed across all human studies in this multistate project. </w:t>
      </w:r>
      <w:r w:rsidR="00814B30" w:rsidRPr="001F4999">
        <w:rPr>
          <w:sz w:val="22"/>
          <w:szCs w:val="22"/>
        </w:rPr>
        <w:t xml:space="preserve">These survey tools will </w:t>
      </w:r>
      <w:r w:rsidR="004E51F0" w:rsidRPr="001F4999">
        <w:rPr>
          <w:sz w:val="22"/>
          <w:szCs w:val="22"/>
        </w:rPr>
        <w:t xml:space="preserve">collect the same: </w:t>
      </w:r>
      <w:r w:rsidR="00814B30" w:rsidRPr="001F4999">
        <w:rPr>
          <w:sz w:val="22"/>
          <w:szCs w:val="22"/>
        </w:rPr>
        <w:t xml:space="preserve">sociodemographic information, examine nutritional risk and dietary composition, food security, </w:t>
      </w:r>
      <w:r w:rsidR="002002FD" w:rsidRPr="001F4999">
        <w:rPr>
          <w:sz w:val="22"/>
          <w:szCs w:val="22"/>
        </w:rPr>
        <w:t>QOL</w:t>
      </w:r>
      <w:r w:rsidR="00814B30" w:rsidRPr="001F4999">
        <w:rPr>
          <w:sz w:val="22"/>
          <w:szCs w:val="22"/>
        </w:rPr>
        <w:t xml:space="preserve">, </w:t>
      </w:r>
      <w:r w:rsidR="00CD7FD4" w:rsidRPr="001F4999">
        <w:rPr>
          <w:sz w:val="22"/>
          <w:szCs w:val="22"/>
        </w:rPr>
        <w:t>physical function</w:t>
      </w:r>
      <w:r w:rsidR="00814B30" w:rsidRPr="001F4999">
        <w:rPr>
          <w:sz w:val="22"/>
          <w:szCs w:val="22"/>
        </w:rPr>
        <w:t>, and physical activity. A common data set will be created to store data from all needs assessment and intervention studies conducted as part of this project. This large data set will be used to conduct modeling studies examining predictors of successful aging as well as cross-sectional data analyses to explore risk factors across states.</w:t>
      </w:r>
    </w:p>
    <w:p w14:paraId="14D62D54" w14:textId="7760718B" w:rsidR="00A939E9" w:rsidRPr="001F4999" w:rsidRDefault="00FD364E" w:rsidP="00320311">
      <w:pPr>
        <w:pStyle w:val="NormalWeb"/>
        <w:numPr>
          <w:ilvl w:val="0"/>
          <w:numId w:val="15"/>
        </w:numPr>
        <w:shd w:val="clear" w:color="auto" w:fill="FFFFFF"/>
        <w:spacing w:before="0" w:beforeAutospacing="0" w:after="0" w:afterAutospacing="0"/>
        <w:rPr>
          <w:sz w:val="22"/>
          <w:szCs w:val="22"/>
        </w:rPr>
      </w:pPr>
      <w:r w:rsidRPr="001F4999">
        <w:rPr>
          <w:sz w:val="22"/>
          <w:szCs w:val="22"/>
          <w:u w:val="single"/>
        </w:rPr>
        <w:t>Area</w:t>
      </w:r>
      <w:r w:rsidR="00814B30" w:rsidRPr="001F4999">
        <w:rPr>
          <w:sz w:val="22"/>
          <w:szCs w:val="22"/>
          <w:u w:val="single"/>
        </w:rPr>
        <w:t xml:space="preserve"> 2</w:t>
      </w:r>
      <w:r w:rsidR="00814B30" w:rsidRPr="001F4999">
        <w:rPr>
          <w:sz w:val="22"/>
          <w:szCs w:val="22"/>
        </w:rPr>
        <w:t xml:space="preserve"> will involve developing theory-based nutrition and physical activity interventions based on identified needs and preferences. These interventions may focus on a variety </w:t>
      </w:r>
      <w:r w:rsidR="00CA23F5" w:rsidRPr="001F4999">
        <w:rPr>
          <w:sz w:val="22"/>
          <w:szCs w:val="22"/>
        </w:rPr>
        <w:t xml:space="preserve">of </w:t>
      </w:r>
      <w:r w:rsidR="00814B30" w:rsidRPr="001F4999">
        <w:rPr>
          <w:sz w:val="22"/>
          <w:szCs w:val="22"/>
        </w:rPr>
        <w:t xml:space="preserve">issues affecting aging adults such as weight loss, arthritis reduction, general health, and food security. Expanding on the work completed as part of the </w:t>
      </w:r>
      <w:r w:rsidR="002C38B5" w:rsidRPr="001F4999">
        <w:rPr>
          <w:sz w:val="22"/>
          <w:szCs w:val="22"/>
        </w:rPr>
        <w:t>NE</w:t>
      </w:r>
      <w:r w:rsidRPr="001F4999">
        <w:rPr>
          <w:sz w:val="22"/>
          <w:szCs w:val="22"/>
        </w:rPr>
        <w:t>-</w:t>
      </w:r>
      <w:r w:rsidR="002C38B5" w:rsidRPr="001F4999">
        <w:rPr>
          <w:sz w:val="22"/>
          <w:szCs w:val="22"/>
        </w:rPr>
        <w:t>1439</w:t>
      </w:r>
      <w:r w:rsidR="00814B30" w:rsidRPr="001F4999">
        <w:rPr>
          <w:sz w:val="22"/>
          <w:szCs w:val="22"/>
        </w:rPr>
        <w:t xml:space="preserve"> project we will further develop a sarcopenia prevention program. A variety of methods will be utilized depending on the type of study being implemented. These methods may include community-based assessments and/or interventions (e.g., Extension-delivered), clinical trials, and epidemiological studies. The key predictors and outcome measures include anthropometric, biochemical, clinical, dietary, physical activity, socioeconomic, and environmental factors according to the study design. </w:t>
      </w:r>
      <w:r w:rsidR="005E001A" w:rsidRPr="001F4999">
        <w:rPr>
          <w:sz w:val="22"/>
          <w:szCs w:val="22"/>
        </w:rPr>
        <w:t>For example, the loss of muscle in sarcopenia driven by cellular senescence and the major d</w:t>
      </w:r>
      <w:r w:rsidR="00CA23F5" w:rsidRPr="001F4999">
        <w:rPr>
          <w:sz w:val="22"/>
          <w:szCs w:val="22"/>
        </w:rPr>
        <w:t>r</w:t>
      </w:r>
      <w:r w:rsidR="005E001A" w:rsidRPr="001F4999">
        <w:rPr>
          <w:sz w:val="22"/>
          <w:szCs w:val="22"/>
        </w:rPr>
        <w:t>iver of cellular senescence is telomere shortening.  When telomeres become too short</w:t>
      </w:r>
      <w:r w:rsidR="007A27DF" w:rsidRPr="001F4999">
        <w:rPr>
          <w:sz w:val="22"/>
          <w:szCs w:val="22"/>
        </w:rPr>
        <w:t>,</w:t>
      </w:r>
      <w:r w:rsidR="005E001A" w:rsidRPr="001F4999">
        <w:rPr>
          <w:sz w:val="22"/>
          <w:szCs w:val="22"/>
        </w:rPr>
        <w:t xml:space="preserve"> cells enter a state where they are incapable of d</w:t>
      </w:r>
      <w:r w:rsidR="002002FD" w:rsidRPr="001F4999">
        <w:rPr>
          <w:sz w:val="22"/>
          <w:szCs w:val="22"/>
        </w:rPr>
        <w:t>r</w:t>
      </w:r>
      <w:r w:rsidR="005E001A" w:rsidRPr="001F4999">
        <w:rPr>
          <w:sz w:val="22"/>
          <w:szCs w:val="22"/>
        </w:rPr>
        <w:t xml:space="preserve">iving and enter a dormant state.  In addition, chronic inflammation has been proposed to be a major contributor to sarcopenia so following markers of inflammation will serve as a predictor of muscle loss. </w:t>
      </w:r>
      <w:r w:rsidR="007A27DF" w:rsidRPr="001F4999">
        <w:rPr>
          <w:sz w:val="22"/>
          <w:szCs w:val="22"/>
        </w:rPr>
        <w:t xml:space="preserve">To address this, key </w:t>
      </w:r>
      <w:r w:rsidR="007A27DF" w:rsidRPr="001F4999">
        <w:rPr>
          <w:bCs/>
          <w:sz w:val="22"/>
          <w:szCs w:val="22"/>
        </w:rPr>
        <w:t>markers of inflammation such as IL-6, and TNF</w:t>
      </w:r>
      <w:r w:rsidR="007A27DF" w:rsidRPr="001F4999">
        <w:rPr>
          <w:bCs/>
          <w:sz w:val="22"/>
          <w:szCs w:val="22"/>
        </w:rPr>
        <w:sym w:font="Symbol" w:char="F067"/>
      </w:r>
      <w:r w:rsidR="007A27DF" w:rsidRPr="001F4999">
        <w:rPr>
          <w:bCs/>
          <w:sz w:val="22"/>
          <w:szCs w:val="22"/>
        </w:rPr>
        <w:t xml:space="preserve"> and DNA repair such as OGG1 will be assessed in blood </w:t>
      </w:r>
      <w:r w:rsidR="00CA23F5" w:rsidRPr="001F4999">
        <w:rPr>
          <w:bCs/>
          <w:sz w:val="22"/>
          <w:szCs w:val="22"/>
        </w:rPr>
        <w:t>serum</w:t>
      </w:r>
      <w:r w:rsidR="007A27DF" w:rsidRPr="001F4999">
        <w:rPr>
          <w:bCs/>
          <w:sz w:val="22"/>
          <w:szCs w:val="22"/>
        </w:rPr>
        <w:t>. Results from these biochemical analys</w:t>
      </w:r>
      <w:r w:rsidR="002A0383" w:rsidRPr="001F4999">
        <w:rPr>
          <w:bCs/>
          <w:sz w:val="22"/>
          <w:szCs w:val="22"/>
        </w:rPr>
        <w:t>es</w:t>
      </w:r>
      <w:r w:rsidR="007A27DF" w:rsidRPr="001F4999">
        <w:rPr>
          <w:bCs/>
          <w:sz w:val="22"/>
          <w:szCs w:val="22"/>
        </w:rPr>
        <w:t xml:space="preserve"> will complement and strengthen this </w:t>
      </w:r>
      <w:r w:rsidR="002A0383" w:rsidRPr="001F4999">
        <w:rPr>
          <w:bCs/>
          <w:sz w:val="22"/>
          <w:szCs w:val="22"/>
        </w:rPr>
        <w:t>a</w:t>
      </w:r>
      <w:r w:rsidRPr="001F4999">
        <w:rPr>
          <w:bCs/>
          <w:sz w:val="22"/>
          <w:szCs w:val="22"/>
        </w:rPr>
        <w:t xml:space="preserve">rea of research. </w:t>
      </w:r>
      <w:r w:rsidR="00A939E9" w:rsidRPr="001F4999">
        <w:rPr>
          <w:sz w:val="22"/>
          <w:szCs w:val="22"/>
        </w:rPr>
        <w:t xml:space="preserve">Elevated inflammation, as indicated by plasma levels of </w:t>
      </w:r>
      <w:r w:rsidR="00A939E9" w:rsidRPr="001F4999">
        <w:rPr>
          <w:bCs/>
          <w:sz w:val="22"/>
          <w:szCs w:val="22"/>
        </w:rPr>
        <w:t>TNF</w:t>
      </w:r>
      <w:r w:rsidR="00A939E9" w:rsidRPr="001F4999">
        <w:rPr>
          <w:bCs/>
          <w:sz w:val="22"/>
          <w:szCs w:val="22"/>
        </w:rPr>
        <w:sym w:font="Symbol" w:char="F067"/>
      </w:r>
      <w:r w:rsidR="00A939E9" w:rsidRPr="001F4999">
        <w:rPr>
          <w:bCs/>
          <w:sz w:val="22"/>
          <w:szCs w:val="22"/>
        </w:rPr>
        <w:t xml:space="preserve"> and IL-6, are highl</w:t>
      </w:r>
      <w:r w:rsidRPr="001F4999">
        <w:rPr>
          <w:bCs/>
          <w:sz w:val="22"/>
          <w:szCs w:val="22"/>
        </w:rPr>
        <w:t xml:space="preserve">y associated with muscle loss. </w:t>
      </w:r>
      <w:r w:rsidR="00A939E9" w:rsidRPr="001F4999">
        <w:rPr>
          <w:bCs/>
          <w:sz w:val="22"/>
          <w:szCs w:val="22"/>
        </w:rPr>
        <w:t>The Belury research group</w:t>
      </w:r>
      <w:r w:rsidRPr="001F4999">
        <w:rPr>
          <w:bCs/>
          <w:sz w:val="22"/>
          <w:szCs w:val="22"/>
        </w:rPr>
        <w:t xml:space="preserve"> (OSU)</w:t>
      </w:r>
      <w:r w:rsidR="00A939E9" w:rsidRPr="001F4999">
        <w:rPr>
          <w:bCs/>
          <w:sz w:val="22"/>
          <w:szCs w:val="22"/>
        </w:rPr>
        <w:t xml:space="preserve"> will assess the association of dietary intake of fatty acids with inflammation and muscle function, mass and mitochondrial capacity, in collaboration with </w:t>
      </w:r>
      <w:r w:rsidRPr="001F4999">
        <w:rPr>
          <w:bCs/>
          <w:sz w:val="22"/>
          <w:szCs w:val="22"/>
        </w:rPr>
        <w:t xml:space="preserve">Drs. Belden (Rutgers) and Cheng (MSU). </w:t>
      </w:r>
    </w:p>
    <w:p w14:paraId="2BA592E5" w14:textId="25550FE9" w:rsidR="00814B30" w:rsidRPr="001F4999" w:rsidRDefault="00FD364E" w:rsidP="002C38B5">
      <w:pPr>
        <w:pStyle w:val="NormalWeb"/>
        <w:numPr>
          <w:ilvl w:val="0"/>
          <w:numId w:val="15"/>
        </w:numPr>
        <w:shd w:val="clear" w:color="auto" w:fill="FFFFFF"/>
        <w:spacing w:before="0" w:beforeAutospacing="0" w:after="0" w:afterAutospacing="0"/>
        <w:rPr>
          <w:sz w:val="22"/>
          <w:szCs w:val="22"/>
        </w:rPr>
      </w:pPr>
      <w:r w:rsidRPr="001F4999">
        <w:rPr>
          <w:sz w:val="22"/>
          <w:szCs w:val="22"/>
          <w:u w:val="single"/>
        </w:rPr>
        <w:t>Area</w:t>
      </w:r>
      <w:r w:rsidR="00814B30" w:rsidRPr="001F4999">
        <w:rPr>
          <w:sz w:val="22"/>
          <w:szCs w:val="22"/>
          <w:u w:val="single"/>
        </w:rPr>
        <w:t xml:space="preserve"> 3</w:t>
      </w:r>
      <w:r w:rsidR="00814B30" w:rsidRPr="001F4999">
        <w:rPr>
          <w:sz w:val="22"/>
          <w:szCs w:val="22"/>
        </w:rPr>
        <w:t xml:space="preserve"> is the development and testing of a </w:t>
      </w:r>
      <w:r w:rsidR="00814B30" w:rsidRPr="001F4999">
        <w:rPr>
          <w:sz w:val="22"/>
          <w:szCs w:val="22"/>
          <w:bdr w:val="none" w:sz="0" w:space="0" w:color="auto" w:frame="1"/>
        </w:rPr>
        <w:t xml:space="preserve">theory-based, community-implemented, exercise and nutrition program (lifeSPAN [Sarcopenia Prevention through Activity and Nutrition] Program) capable of reducing the risk of and/or severity of sarcopenia among women ages </w:t>
      </w:r>
      <w:r w:rsidRPr="001F4999">
        <w:rPr>
          <w:sz w:val="22"/>
          <w:szCs w:val="22"/>
          <w:bdr w:val="none" w:sz="0" w:space="0" w:color="auto" w:frame="1"/>
        </w:rPr>
        <w:t>4</w:t>
      </w:r>
      <w:r w:rsidR="00814B30" w:rsidRPr="001F4999">
        <w:rPr>
          <w:sz w:val="22"/>
          <w:szCs w:val="22"/>
          <w:bdr w:val="none" w:sz="0" w:space="0" w:color="auto" w:frame="1"/>
        </w:rPr>
        <w:t xml:space="preserve">0-75 years. The long-term goal of the lifeSPAN Program is to promote the independence and well-being of community-residing </w:t>
      </w:r>
      <w:r w:rsidRPr="001F4999">
        <w:rPr>
          <w:sz w:val="22"/>
          <w:szCs w:val="22"/>
          <w:bdr w:val="none" w:sz="0" w:space="0" w:color="auto" w:frame="1"/>
        </w:rPr>
        <w:t xml:space="preserve">aging and </w:t>
      </w:r>
      <w:r w:rsidR="00814B30" w:rsidRPr="001F4999">
        <w:rPr>
          <w:sz w:val="22"/>
          <w:szCs w:val="22"/>
          <w:bdr w:val="none" w:sz="0" w:space="0" w:color="auto" w:frame="1"/>
        </w:rPr>
        <w:t>older women</w:t>
      </w:r>
      <w:r w:rsidRPr="001F4999">
        <w:rPr>
          <w:sz w:val="22"/>
          <w:szCs w:val="22"/>
          <w:bdr w:val="none" w:sz="0" w:space="0" w:color="auto" w:frame="1"/>
        </w:rPr>
        <w:t xml:space="preserve"> </w:t>
      </w:r>
      <w:r w:rsidR="00814B30" w:rsidRPr="001F4999">
        <w:rPr>
          <w:sz w:val="22"/>
          <w:szCs w:val="22"/>
          <w:bdr w:val="none" w:sz="0" w:space="0" w:color="auto" w:frame="1"/>
        </w:rPr>
        <w:t xml:space="preserve">through an integrative, community-based exercise and nutrition intervention. </w:t>
      </w:r>
      <w:r w:rsidR="00814B30" w:rsidRPr="001F4999">
        <w:rPr>
          <w:sz w:val="22"/>
          <w:szCs w:val="22"/>
        </w:rPr>
        <w:t>The</w:t>
      </w:r>
      <w:r w:rsidR="00814B30" w:rsidRPr="001F4999">
        <w:rPr>
          <w:b/>
          <w:sz w:val="22"/>
          <w:szCs w:val="22"/>
        </w:rPr>
        <w:t xml:space="preserve"> </w:t>
      </w:r>
      <w:r w:rsidR="00814B30" w:rsidRPr="001F4999">
        <w:rPr>
          <w:sz w:val="22"/>
          <w:szCs w:val="22"/>
        </w:rPr>
        <w:t xml:space="preserve">lifeSPAN program </w:t>
      </w:r>
      <w:r w:rsidR="00304EDD" w:rsidRPr="001F4999">
        <w:rPr>
          <w:sz w:val="22"/>
          <w:szCs w:val="22"/>
        </w:rPr>
        <w:t>utilizes an</w:t>
      </w:r>
      <w:r w:rsidR="00814B30" w:rsidRPr="001F4999">
        <w:rPr>
          <w:sz w:val="22"/>
          <w:szCs w:val="22"/>
        </w:rPr>
        <w:t xml:space="preserve"> interdisciplinary</w:t>
      </w:r>
      <w:r w:rsidR="00304EDD" w:rsidRPr="001F4999">
        <w:rPr>
          <w:sz w:val="22"/>
          <w:szCs w:val="22"/>
        </w:rPr>
        <w:t xml:space="preserve"> approach</w:t>
      </w:r>
      <w:r w:rsidR="00814B30" w:rsidRPr="001F4999">
        <w:rPr>
          <w:sz w:val="22"/>
          <w:szCs w:val="22"/>
        </w:rPr>
        <w:t xml:space="preserve">, </w:t>
      </w:r>
      <w:r w:rsidR="00304EDD" w:rsidRPr="001F4999">
        <w:rPr>
          <w:sz w:val="22"/>
          <w:szCs w:val="22"/>
        </w:rPr>
        <w:t>applies</w:t>
      </w:r>
      <w:r w:rsidR="00814B30" w:rsidRPr="001F4999">
        <w:rPr>
          <w:sz w:val="22"/>
          <w:szCs w:val="22"/>
        </w:rPr>
        <w:t xml:space="preserve"> sustainable lifestyle intervention approaches, and is designed for community-delivery through Extension. The lifeSPAN Program will include creating an exercise DVD that emphasizes resistance training (based on work completed by URI as part of the </w:t>
      </w:r>
      <w:r w:rsidR="002C38B5" w:rsidRPr="001F4999">
        <w:rPr>
          <w:sz w:val="22"/>
          <w:szCs w:val="22"/>
        </w:rPr>
        <w:t>NE</w:t>
      </w:r>
      <w:r w:rsidRPr="001F4999">
        <w:rPr>
          <w:sz w:val="22"/>
          <w:szCs w:val="22"/>
        </w:rPr>
        <w:t>-</w:t>
      </w:r>
      <w:r w:rsidR="002C38B5" w:rsidRPr="001F4999">
        <w:rPr>
          <w:sz w:val="22"/>
          <w:szCs w:val="22"/>
        </w:rPr>
        <w:t>1439</w:t>
      </w:r>
      <w:r w:rsidR="00814B30" w:rsidRPr="001F4999">
        <w:rPr>
          <w:sz w:val="22"/>
          <w:szCs w:val="22"/>
        </w:rPr>
        <w:t xml:space="preserve"> project) and a nutrition curriculum that promotes protein intake through whole foods (based on</w:t>
      </w:r>
      <w:r w:rsidRPr="001F4999">
        <w:rPr>
          <w:sz w:val="22"/>
          <w:szCs w:val="22"/>
        </w:rPr>
        <w:t xml:space="preserve"> MacNab study</w:t>
      </w:r>
      <w:r w:rsidR="002002FD" w:rsidRPr="001F4999">
        <w:rPr>
          <w:sz w:val="22"/>
          <w:szCs w:val="22"/>
        </w:rPr>
        <w:t xml:space="preserve"> </w:t>
      </w:r>
      <w:r w:rsidR="002002FD" w:rsidRPr="001F4999">
        <w:rPr>
          <w:sz w:val="22"/>
          <w:szCs w:val="22"/>
          <w:vertAlign w:val="superscript"/>
        </w:rPr>
        <w:t>39</w:t>
      </w:r>
      <w:r w:rsidR="00814B30" w:rsidRPr="001F4999">
        <w:rPr>
          <w:sz w:val="22"/>
          <w:szCs w:val="22"/>
        </w:rPr>
        <w:t xml:space="preserve">). The key indicators may include </w:t>
      </w:r>
      <w:r w:rsidR="00DD1243" w:rsidRPr="001F4999">
        <w:rPr>
          <w:sz w:val="22"/>
          <w:szCs w:val="22"/>
          <w:u w:val="single"/>
        </w:rPr>
        <w:t>physical function</w:t>
      </w:r>
      <w:r w:rsidR="00814B30" w:rsidRPr="001F4999">
        <w:rPr>
          <w:sz w:val="22"/>
          <w:szCs w:val="22"/>
          <w:u w:val="single"/>
        </w:rPr>
        <w:t xml:space="preserve"> </w:t>
      </w:r>
      <w:r w:rsidR="00814B30" w:rsidRPr="001F4999">
        <w:rPr>
          <w:sz w:val="22"/>
          <w:szCs w:val="22"/>
        </w:rPr>
        <w:t>(grip strength, four-meter gait speed test, chair stand tests, isometric leg extensor strength),</w:t>
      </w:r>
      <w:r w:rsidR="00814B30" w:rsidRPr="001F4999">
        <w:rPr>
          <w:b/>
          <w:sz w:val="22"/>
          <w:szCs w:val="22"/>
        </w:rPr>
        <w:t xml:space="preserve"> </w:t>
      </w:r>
      <w:r w:rsidR="00814B30" w:rsidRPr="001F4999">
        <w:rPr>
          <w:sz w:val="22"/>
          <w:szCs w:val="22"/>
          <w:u w:val="single"/>
        </w:rPr>
        <w:t>body composition</w:t>
      </w:r>
      <w:r w:rsidR="00814B30" w:rsidRPr="001F4999">
        <w:rPr>
          <w:sz w:val="22"/>
          <w:szCs w:val="22"/>
        </w:rPr>
        <w:t xml:space="preserve"> (multi-frequency bioelectrical impedance analysis (</w:t>
      </w:r>
      <w:r w:rsidR="00FF699B" w:rsidRPr="001F4999">
        <w:rPr>
          <w:sz w:val="22"/>
          <w:szCs w:val="22"/>
        </w:rPr>
        <w:t>MF</w:t>
      </w:r>
      <w:r w:rsidR="00814B30" w:rsidRPr="001F4999">
        <w:rPr>
          <w:sz w:val="22"/>
          <w:szCs w:val="22"/>
        </w:rPr>
        <w:t xml:space="preserve">BIA), height and weight), </w:t>
      </w:r>
      <w:r w:rsidR="00814B30" w:rsidRPr="001F4999">
        <w:rPr>
          <w:sz w:val="22"/>
          <w:szCs w:val="22"/>
          <w:u w:val="single"/>
        </w:rPr>
        <w:t xml:space="preserve">nutrition and food measures </w:t>
      </w:r>
      <w:r w:rsidR="00814B30" w:rsidRPr="001F4999">
        <w:rPr>
          <w:sz w:val="22"/>
          <w:szCs w:val="22"/>
        </w:rPr>
        <w:t>(</w:t>
      </w:r>
      <w:r w:rsidR="00FF699B" w:rsidRPr="001F4999">
        <w:rPr>
          <w:sz w:val="22"/>
          <w:szCs w:val="22"/>
        </w:rPr>
        <w:t xml:space="preserve">multiple </w:t>
      </w:r>
      <w:r w:rsidR="00814B30" w:rsidRPr="001F4999">
        <w:rPr>
          <w:sz w:val="22"/>
          <w:szCs w:val="22"/>
        </w:rPr>
        <w:t>24-hour recalls, nutritional risk and dietary intake frequencies, complete blood counts</w:t>
      </w:r>
      <w:r w:rsidR="00B67C25" w:rsidRPr="001F4999">
        <w:rPr>
          <w:sz w:val="22"/>
          <w:szCs w:val="22"/>
        </w:rPr>
        <w:t>, serum selenium levels</w:t>
      </w:r>
      <w:r w:rsidR="00814B30" w:rsidRPr="001F4999">
        <w:rPr>
          <w:sz w:val="22"/>
          <w:szCs w:val="22"/>
        </w:rPr>
        <w:t>)</w:t>
      </w:r>
      <w:r w:rsidR="00364A85" w:rsidRPr="001F4999">
        <w:rPr>
          <w:sz w:val="22"/>
          <w:szCs w:val="22"/>
        </w:rPr>
        <w:t xml:space="preserve">, and </w:t>
      </w:r>
      <w:r w:rsidR="00364A85" w:rsidRPr="001F4999">
        <w:rPr>
          <w:sz w:val="22"/>
          <w:szCs w:val="22"/>
          <w:u w:val="single"/>
        </w:rPr>
        <w:t>markers of inflammation</w:t>
      </w:r>
      <w:r w:rsidR="00364A85" w:rsidRPr="001F4999">
        <w:rPr>
          <w:sz w:val="22"/>
          <w:szCs w:val="22"/>
        </w:rPr>
        <w:t>.</w:t>
      </w:r>
      <w:r w:rsidR="00814B30" w:rsidRPr="001F4999">
        <w:rPr>
          <w:sz w:val="22"/>
          <w:szCs w:val="22"/>
        </w:rPr>
        <w:t xml:space="preserve"> The intervention will be pilot-tested in a variety of community settings. Data analysis will be undertaken using general linear models methods, focused on testing for differences between Control and Treatment groups and </w:t>
      </w:r>
      <w:r w:rsidR="00814B30" w:rsidRPr="001F4999">
        <w:rPr>
          <w:sz w:val="22"/>
          <w:szCs w:val="22"/>
        </w:rPr>
        <w:lastRenderedPageBreak/>
        <w:t xml:space="preserve">controlling for relevant demographic and structural covariates. The lifeSPAN program will be implemented in both urban and rural areas. </w:t>
      </w:r>
    </w:p>
    <w:p w14:paraId="0A011EC8" w14:textId="44342B51" w:rsidR="00814B30" w:rsidRPr="001F4999" w:rsidRDefault="00814B30" w:rsidP="002C38B5">
      <w:pPr>
        <w:pStyle w:val="NormalWeb"/>
        <w:shd w:val="clear" w:color="auto" w:fill="FFFFFF"/>
        <w:spacing w:before="0" w:beforeAutospacing="0" w:after="0" w:afterAutospacing="0"/>
        <w:rPr>
          <w:sz w:val="22"/>
          <w:szCs w:val="22"/>
        </w:rPr>
      </w:pPr>
    </w:p>
    <w:p w14:paraId="68068BFC" w14:textId="67F79785" w:rsidR="00814B30" w:rsidRPr="001F4999" w:rsidRDefault="00814B30" w:rsidP="002C38B5">
      <w:pPr>
        <w:pStyle w:val="NormalWeb"/>
        <w:shd w:val="clear" w:color="auto" w:fill="FFFFFF"/>
        <w:spacing w:before="0" w:beforeAutospacing="0" w:after="0" w:afterAutospacing="0"/>
        <w:rPr>
          <w:sz w:val="22"/>
          <w:szCs w:val="22"/>
        </w:rPr>
      </w:pPr>
    </w:p>
    <w:p w14:paraId="07B99B4F" w14:textId="3DEDF749" w:rsidR="00D70B97" w:rsidRPr="001F4999" w:rsidRDefault="00364A85" w:rsidP="002C38B5">
      <w:pPr>
        <w:pStyle w:val="NormalWeb"/>
        <w:shd w:val="clear" w:color="auto" w:fill="FFFFFF"/>
        <w:spacing w:before="0" w:beforeAutospacing="0" w:after="0" w:afterAutospacing="0"/>
        <w:rPr>
          <w:b/>
          <w:sz w:val="22"/>
          <w:szCs w:val="22"/>
        </w:rPr>
      </w:pPr>
      <w:r w:rsidRPr="001F4999">
        <w:rPr>
          <w:b/>
          <w:sz w:val="22"/>
          <w:szCs w:val="22"/>
        </w:rPr>
        <w:t>Survey Tool Descriptions</w:t>
      </w:r>
      <w:r w:rsidR="00D70B97" w:rsidRPr="001F4999">
        <w:rPr>
          <w:b/>
          <w:sz w:val="22"/>
          <w:szCs w:val="22"/>
        </w:rPr>
        <w:t xml:space="preserve"> </w:t>
      </w:r>
    </w:p>
    <w:p w14:paraId="4D2C4692" w14:textId="64DC22E4" w:rsidR="0072726A" w:rsidRPr="001F4999" w:rsidRDefault="0072726A" w:rsidP="002C38B5">
      <w:pPr>
        <w:spacing w:after="0" w:line="240" w:lineRule="auto"/>
        <w:rPr>
          <w:rFonts w:ascii="Times New Roman" w:hAnsi="Times New Roman" w:cs="Times New Roman"/>
        </w:rPr>
      </w:pPr>
      <w:r w:rsidRPr="001F4999">
        <w:rPr>
          <w:rFonts w:ascii="Times New Roman" w:hAnsi="Times New Roman" w:cs="Times New Roman"/>
        </w:rPr>
        <w:tab/>
      </w:r>
    </w:p>
    <w:p w14:paraId="2409C70A" w14:textId="77777777" w:rsidR="0072726A" w:rsidRPr="001F4999" w:rsidRDefault="0072726A" w:rsidP="002C38B5">
      <w:pPr>
        <w:spacing w:after="0" w:line="240" w:lineRule="auto"/>
        <w:rPr>
          <w:rFonts w:ascii="Times New Roman" w:hAnsi="Times New Roman" w:cs="Times New Roman"/>
          <w:i/>
        </w:rPr>
      </w:pPr>
      <w:r w:rsidRPr="001F4999">
        <w:rPr>
          <w:rFonts w:ascii="Times New Roman" w:hAnsi="Times New Roman" w:cs="Times New Roman"/>
          <w:i/>
        </w:rPr>
        <w:t>Sociodemographic Attributes</w:t>
      </w:r>
    </w:p>
    <w:p w14:paraId="3BB07889" w14:textId="5AFAC33E" w:rsidR="00814B30" w:rsidRPr="001F4999" w:rsidRDefault="0072726A" w:rsidP="002C38B5">
      <w:pPr>
        <w:spacing w:after="0" w:line="240" w:lineRule="auto"/>
        <w:rPr>
          <w:rFonts w:ascii="Times New Roman" w:hAnsi="Times New Roman" w:cs="Times New Roman"/>
        </w:rPr>
      </w:pPr>
      <w:r w:rsidRPr="001F4999">
        <w:rPr>
          <w:rFonts w:ascii="Times New Roman" w:hAnsi="Times New Roman" w:cs="Times New Roman"/>
        </w:rPr>
        <w:tab/>
      </w:r>
      <w:r w:rsidR="003A447F" w:rsidRPr="001F4999">
        <w:rPr>
          <w:rFonts w:ascii="Times New Roman" w:hAnsi="Times New Roman" w:cs="Times New Roman"/>
        </w:rPr>
        <w:t xml:space="preserve">We will use the demographic questions collected as part of the Performance Outcome Measurement Project (POMP) </w:t>
      </w:r>
      <w:r w:rsidR="002002FD" w:rsidRPr="001F4999">
        <w:rPr>
          <w:rFonts w:ascii="Times New Roman" w:hAnsi="Times New Roman" w:cs="Times New Roman"/>
          <w:vertAlign w:val="superscript"/>
        </w:rPr>
        <w:t>2</w:t>
      </w:r>
      <w:r w:rsidR="003A447F" w:rsidRPr="001F4999">
        <w:rPr>
          <w:rFonts w:ascii="Times New Roman" w:hAnsi="Times New Roman" w:cs="Times New Roman"/>
        </w:rPr>
        <w:t>. The demographics modules includes 10 questions related to gender, race, age, marital status, and include. These questions u</w:t>
      </w:r>
      <w:r w:rsidR="002002FD" w:rsidRPr="001F4999">
        <w:rPr>
          <w:rFonts w:ascii="Times New Roman" w:hAnsi="Times New Roman" w:cs="Times New Roman"/>
        </w:rPr>
        <w:t>tilize</w:t>
      </w:r>
      <w:r w:rsidR="003A447F" w:rsidRPr="001F4999">
        <w:rPr>
          <w:rFonts w:ascii="Times New Roman" w:hAnsi="Times New Roman" w:cs="Times New Roman"/>
        </w:rPr>
        <w:t xml:space="preserve"> standard wording used with national </w:t>
      </w:r>
      <w:r w:rsidR="00D9269E" w:rsidRPr="001F4999">
        <w:rPr>
          <w:rFonts w:ascii="Times New Roman" w:hAnsi="Times New Roman" w:cs="Times New Roman"/>
        </w:rPr>
        <w:t>surveys, which</w:t>
      </w:r>
      <w:r w:rsidR="002002FD" w:rsidRPr="001F4999">
        <w:rPr>
          <w:rFonts w:ascii="Times New Roman" w:hAnsi="Times New Roman" w:cs="Times New Roman"/>
        </w:rPr>
        <w:t xml:space="preserve"> will allow for better comparison to national findings</w:t>
      </w:r>
      <w:r w:rsidR="003A447F" w:rsidRPr="001F4999">
        <w:rPr>
          <w:rFonts w:ascii="Times New Roman" w:hAnsi="Times New Roman" w:cs="Times New Roman"/>
        </w:rPr>
        <w:t xml:space="preserve">. </w:t>
      </w:r>
    </w:p>
    <w:p w14:paraId="4A3AFA0D" w14:textId="77777777" w:rsidR="0072726A" w:rsidRPr="001F4999" w:rsidRDefault="0072726A" w:rsidP="002C38B5">
      <w:pPr>
        <w:spacing w:after="0" w:line="240" w:lineRule="auto"/>
        <w:rPr>
          <w:rFonts w:ascii="Times New Roman" w:hAnsi="Times New Roman" w:cs="Times New Roman"/>
        </w:rPr>
      </w:pPr>
    </w:p>
    <w:p w14:paraId="7C0CF5A2" w14:textId="77777777" w:rsidR="00814B30" w:rsidRPr="001F4999" w:rsidRDefault="00814B30" w:rsidP="002C38B5">
      <w:pPr>
        <w:spacing w:after="0" w:line="240" w:lineRule="auto"/>
        <w:rPr>
          <w:rFonts w:ascii="Times New Roman" w:hAnsi="Times New Roman" w:cs="Times New Roman"/>
          <w:i/>
        </w:rPr>
      </w:pPr>
      <w:r w:rsidRPr="001F4999">
        <w:rPr>
          <w:rFonts w:ascii="Times New Roman" w:hAnsi="Times New Roman" w:cs="Times New Roman"/>
          <w:i/>
        </w:rPr>
        <w:t>Nutritional Risk and Dietary Intake Frequency Assessment:</w:t>
      </w:r>
    </w:p>
    <w:p w14:paraId="18384E33" w14:textId="3C1D3AE8" w:rsidR="00814B30" w:rsidRPr="001F4999" w:rsidRDefault="00814B30" w:rsidP="002C38B5">
      <w:pPr>
        <w:spacing w:after="0" w:line="240" w:lineRule="auto"/>
        <w:ind w:firstLine="720"/>
        <w:rPr>
          <w:rFonts w:ascii="Times New Roman" w:hAnsi="Times New Roman" w:cs="Times New Roman"/>
        </w:rPr>
      </w:pPr>
      <w:r w:rsidRPr="001F4999">
        <w:rPr>
          <w:rFonts w:ascii="Times New Roman" w:hAnsi="Times New Roman" w:cs="Times New Roman"/>
        </w:rPr>
        <w:t xml:space="preserve">The Dietary Screening Tool (DST) </w:t>
      </w:r>
      <w:r w:rsidR="00FF699B" w:rsidRPr="001F4999">
        <w:rPr>
          <w:rFonts w:ascii="Times New Roman" w:hAnsi="Times New Roman" w:cs="Times New Roman"/>
        </w:rPr>
        <w:t xml:space="preserve">is a validated tool to </w:t>
      </w:r>
      <w:r w:rsidRPr="001F4999">
        <w:rPr>
          <w:rFonts w:ascii="Times New Roman" w:hAnsi="Times New Roman" w:cs="Times New Roman"/>
        </w:rPr>
        <w:t xml:space="preserve">assess nutritional risk </w:t>
      </w:r>
      <w:r w:rsidR="00FF699B" w:rsidRPr="001F4999">
        <w:rPr>
          <w:rFonts w:ascii="Times New Roman" w:hAnsi="Times New Roman" w:cs="Times New Roman"/>
        </w:rPr>
        <w:t xml:space="preserve">in middle-aged and older adults based on frequency of intakes of </w:t>
      </w:r>
      <w:r w:rsidRPr="001F4999">
        <w:rPr>
          <w:rFonts w:ascii="Times New Roman" w:hAnsi="Times New Roman" w:cs="Times New Roman"/>
        </w:rPr>
        <w:t xml:space="preserve">fruits, vegetables, dietary fiber, lean protein, added fat, sugars and sweets, dairy, and processed meats. The DST has 25 food and behavior specific questions, which can be completed by individuals in less than 10 minutes and scored by clinicians in less than 5 minutes </w:t>
      </w:r>
      <w:r w:rsidR="002002FD" w:rsidRPr="001F4999">
        <w:rPr>
          <w:rFonts w:ascii="Times New Roman" w:hAnsi="Times New Roman" w:cs="Times New Roman"/>
          <w:vertAlign w:val="superscript"/>
        </w:rPr>
        <w:t>5, 6</w:t>
      </w:r>
      <w:r w:rsidRPr="001F4999">
        <w:rPr>
          <w:rFonts w:ascii="Times New Roman" w:hAnsi="Times New Roman" w:cs="Times New Roman"/>
        </w:rPr>
        <w:t>. The maximum score of 100 points is divided into 7 diet component categories (added fats, sugar, and sweets; whole fruit and juice; vegetables; total and whole grains; lean protei</w:t>
      </w:r>
      <w:r w:rsidR="00364A85" w:rsidRPr="001F4999">
        <w:rPr>
          <w:rFonts w:ascii="Times New Roman" w:hAnsi="Times New Roman" w:cs="Times New Roman"/>
        </w:rPr>
        <w:t xml:space="preserve">n; dairy; and processed meat). </w:t>
      </w:r>
      <w:r w:rsidRPr="001F4999">
        <w:rPr>
          <w:rFonts w:ascii="Times New Roman" w:hAnsi="Times New Roman" w:cs="Times New Roman"/>
        </w:rPr>
        <w:t xml:space="preserve">A higher score is desirable as it indicates lower nutritional risk (“nutritional risk” [&lt;60 points], “possible nutritional risk” [60-75 points], and “not at risk” [&gt;75 points]) (Bailey, 2009). As part of the </w:t>
      </w:r>
      <w:r w:rsidR="002C38B5" w:rsidRPr="001F4999">
        <w:rPr>
          <w:rFonts w:ascii="Times New Roman" w:hAnsi="Times New Roman" w:cs="Times New Roman"/>
        </w:rPr>
        <w:t>NE</w:t>
      </w:r>
      <w:r w:rsidR="001845A5" w:rsidRPr="001F4999">
        <w:rPr>
          <w:rFonts w:ascii="Times New Roman" w:hAnsi="Times New Roman" w:cs="Times New Roman"/>
        </w:rPr>
        <w:t>-</w:t>
      </w:r>
      <w:r w:rsidR="002C38B5" w:rsidRPr="001F4999">
        <w:rPr>
          <w:rFonts w:ascii="Times New Roman" w:hAnsi="Times New Roman" w:cs="Times New Roman"/>
        </w:rPr>
        <w:t>1439</w:t>
      </w:r>
      <w:r w:rsidRPr="001F4999">
        <w:rPr>
          <w:rFonts w:ascii="Times New Roman" w:hAnsi="Times New Roman" w:cs="Times New Roman"/>
        </w:rPr>
        <w:t xml:space="preserve"> project, Dr. Ventura-Marra validated the DST for use among </w:t>
      </w:r>
      <w:r w:rsidR="00FF699B" w:rsidRPr="001F4999">
        <w:rPr>
          <w:rFonts w:ascii="Times New Roman" w:hAnsi="Times New Roman" w:cs="Times New Roman"/>
        </w:rPr>
        <w:t xml:space="preserve">middle-adults </w:t>
      </w:r>
      <w:r w:rsidRPr="001F4999">
        <w:rPr>
          <w:rFonts w:ascii="Times New Roman" w:hAnsi="Times New Roman" w:cs="Times New Roman"/>
        </w:rPr>
        <w:t xml:space="preserve">adults </w:t>
      </w:r>
      <w:r w:rsidR="00FF699B" w:rsidRPr="001F4999">
        <w:rPr>
          <w:rFonts w:ascii="Times New Roman" w:hAnsi="Times New Roman" w:cs="Times New Roman"/>
        </w:rPr>
        <w:t>(</w:t>
      </w:r>
      <w:r w:rsidRPr="001F4999">
        <w:rPr>
          <w:rFonts w:ascii="Times New Roman" w:hAnsi="Times New Roman" w:cs="Times New Roman"/>
        </w:rPr>
        <w:t>4</w:t>
      </w:r>
      <w:r w:rsidR="00FF699B" w:rsidRPr="001F4999">
        <w:rPr>
          <w:rFonts w:ascii="Times New Roman" w:hAnsi="Times New Roman" w:cs="Times New Roman"/>
        </w:rPr>
        <w:t xml:space="preserve">5 to 64 </w:t>
      </w:r>
      <w:r w:rsidRPr="001F4999">
        <w:rPr>
          <w:rFonts w:ascii="Times New Roman" w:hAnsi="Times New Roman" w:cs="Times New Roman"/>
        </w:rPr>
        <w:t>year</w:t>
      </w:r>
      <w:r w:rsidR="00FF699B" w:rsidRPr="001F4999">
        <w:rPr>
          <w:rFonts w:ascii="Times New Roman" w:hAnsi="Times New Roman" w:cs="Times New Roman"/>
        </w:rPr>
        <w:t xml:space="preserve"> olds)</w:t>
      </w:r>
      <w:r w:rsidRPr="001F4999">
        <w:rPr>
          <w:rFonts w:ascii="Times New Roman" w:hAnsi="Times New Roman" w:cs="Times New Roman"/>
        </w:rPr>
        <w:t xml:space="preserve"> </w:t>
      </w:r>
      <w:r w:rsidR="002002FD" w:rsidRPr="001F4999">
        <w:rPr>
          <w:rFonts w:ascii="Times New Roman" w:hAnsi="Times New Roman" w:cs="Times New Roman"/>
          <w:vertAlign w:val="superscript"/>
        </w:rPr>
        <w:t>41</w:t>
      </w:r>
      <w:r w:rsidRPr="001F4999">
        <w:rPr>
          <w:rFonts w:ascii="Times New Roman" w:hAnsi="Times New Roman" w:cs="Times New Roman"/>
        </w:rPr>
        <w:t>; thus expanding its use among all aging adults.</w:t>
      </w:r>
    </w:p>
    <w:p w14:paraId="5CC62358" w14:textId="77777777" w:rsidR="009929FD" w:rsidRPr="001F4999" w:rsidRDefault="009929FD" w:rsidP="002C38B5">
      <w:pPr>
        <w:spacing w:after="0" w:line="240" w:lineRule="auto"/>
        <w:rPr>
          <w:rFonts w:ascii="Times New Roman" w:hAnsi="Times New Roman" w:cs="Times New Roman"/>
          <w:i/>
        </w:rPr>
      </w:pPr>
    </w:p>
    <w:p w14:paraId="431CC83A" w14:textId="44E693EF" w:rsidR="00814B30" w:rsidRPr="001F4999" w:rsidRDefault="00814B30" w:rsidP="002C38B5">
      <w:pPr>
        <w:spacing w:after="0" w:line="240" w:lineRule="auto"/>
        <w:rPr>
          <w:rFonts w:ascii="Times New Roman" w:hAnsi="Times New Roman" w:cs="Times New Roman"/>
          <w:i/>
        </w:rPr>
      </w:pPr>
      <w:r w:rsidRPr="001F4999">
        <w:rPr>
          <w:rFonts w:ascii="Times New Roman" w:hAnsi="Times New Roman" w:cs="Times New Roman"/>
          <w:i/>
        </w:rPr>
        <w:t>Food Security</w:t>
      </w:r>
    </w:p>
    <w:p w14:paraId="423A40C5" w14:textId="21A8B275" w:rsidR="00814B30" w:rsidRPr="001F4999" w:rsidRDefault="00320311" w:rsidP="002C38B5">
      <w:pPr>
        <w:pStyle w:val="NormalWeb"/>
        <w:shd w:val="clear" w:color="auto" w:fill="FFFFFF"/>
        <w:spacing w:before="0" w:beforeAutospacing="0" w:after="0" w:afterAutospacing="0"/>
        <w:ind w:firstLine="720"/>
        <w:rPr>
          <w:rFonts w:eastAsia="Times New Roman,Arial,Times New"/>
          <w:color w:val="000000" w:themeColor="text1"/>
          <w:sz w:val="22"/>
          <w:szCs w:val="22"/>
        </w:rPr>
      </w:pPr>
      <w:r w:rsidRPr="001F4999">
        <w:rPr>
          <w:rFonts w:eastAsia="Times New Roman,Arial,Times New"/>
          <w:color w:val="000000" w:themeColor="text1"/>
          <w:sz w:val="22"/>
          <w:szCs w:val="22"/>
        </w:rPr>
        <w:t>F</w:t>
      </w:r>
      <w:r w:rsidR="00814B30" w:rsidRPr="001F4999">
        <w:rPr>
          <w:rFonts w:eastAsia="Times New Roman,Arial,Times New"/>
          <w:color w:val="000000" w:themeColor="text1"/>
          <w:sz w:val="22"/>
          <w:szCs w:val="22"/>
        </w:rPr>
        <w:t xml:space="preserve">ood insecurity is associated with poverty, lower nutrient intakes, increased likelihood of poor or fair health, being a person of color, activities of daily living (ADLs) limitations, and poor chronic disease management </w:t>
      </w:r>
      <w:r w:rsidR="002002FD" w:rsidRPr="001F4999">
        <w:rPr>
          <w:rFonts w:eastAsia="Times New Roman,Arial,Times New"/>
          <w:color w:val="000000" w:themeColor="text1"/>
          <w:sz w:val="22"/>
          <w:szCs w:val="22"/>
          <w:vertAlign w:val="superscript"/>
        </w:rPr>
        <w:t>3, 26, 37, 38, 56, 58, 72</w:t>
      </w:r>
      <w:r w:rsidR="00814B30" w:rsidRPr="001F4999">
        <w:rPr>
          <w:rFonts w:eastAsia="Times New Roman,Arial,Times New"/>
          <w:color w:val="000000" w:themeColor="text1"/>
          <w:sz w:val="22"/>
          <w:szCs w:val="22"/>
        </w:rPr>
        <w:t>. Per the USDA Economic Research Service, n</w:t>
      </w:r>
      <w:r w:rsidR="00814B30" w:rsidRPr="001F4999">
        <w:rPr>
          <w:sz w:val="22"/>
          <w:szCs w:val="22"/>
        </w:rPr>
        <w:t>early all the states in the renewal project where community-based research will occur (10 out of 11) has a food inse</w:t>
      </w:r>
      <w:r w:rsidR="00364A85" w:rsidRPr="001F4999">
        <w:rPr>
          <w:sz w:val="22"/>
          <w:szCs w:val="22"/>
        </w:rPr>
        <w:t xml:space="preserve">curity rate of 10 % and higher </w:t>
      </w:r>
      <w:r w:rsidR="002002FD" w:rsidRPr="001F4999">
        <w:rPr>
          <w:sz w:val="22"/>
          <w:szCs w:val="22"/>
          <w:vertAlign w:val="superscript"/>
        </w:rPr>
        <w:t>63</w:t>
      </w:r>
      <w:r w:rsidR="00814B30" w:rsidRPr="001F4999">
        <w:rPr>
          <w:sz w:val="22"/>
          <w:szCs w:val="22"/>
        </w:rPr>
        <w:t xml:space="preserve">. The renewal project will </w:t>
      </w:r>
      <w:r w:rsidR="00364A85" w:rsidRPr="001F4999">
        <w:rPr>
          <w:sz w:val="22"/>
          <w:szCs w:val="22"/>
        </w:rPr>
        <w:t xml:space="preserve">collect </w:t>
      </w:r>
      <w:r w:rsidR="00814B30" w:rsidRPr="001F4999">
        <w:rPr>
          <w:sz w:val="22"/>
          <w:szCs w:val="22"/>
        </w:rPr>
        <w:t xml:space="preserve">food security data. To lower participant </w:t>
      </w:r>
      <w:r w:rsidR="00D9269E" w:rsidRPr="001F4999">
        <w:rPr>
          <w:sz w:val="22"/>
          <w:szCs w:val="22"/>
        </w:rPr>
        <w:t>burden,</w:t>
      </w:r>
      <w:r w:rsidR="00814B30" w:rsidRPr="001F4999">
        <w:rPr>
          <w:sz w:val="22"/>
          <w:szCs w:val="22"/>
        </w:rPr>
        <w:t xml:space="preserve"> researchers will be encouraged to use either t</w:t>
      </w:r>
      <w:r w:rsidR="00814B30" w:rsidRPr="001F4999">
        <w:rPr>
          <w:rFonts w:eastAsia="Times New Roman,Arial,Times New"/>
          <w:color w:val="000000" w:themeColor="text1"/>
          <w:sz w:val="22"/>
          <w:szCs w:val="22"/>
        </w:rPr>
        <w:t xml:space="preserve">he “Six-Item Short Form” </w:t>
      </w:r>
      <w:r w:rsidR="002002FD" w:rsidRPr="001F4999">
        <w:rPr>
          <w:rFonts w:eastAsia="Times New Roman,Arial,Times New"/>
          <w:color w:val="000000" w:themeColor="text1"/>
          <w:sz w:val="22"/>
          <w:szCs w:val="22"/>
          <w:vertAlign w:val="superscript"/>
        </w:rPr>
        <w:t>62</w:t>
      </w:r>
      <w:r w:rsidR="00814B30" w:rsidRPr="001F4999">
        <w:rPr>
          <w:rFonts w:eastAsia="Times New Roman,Arial,Times New"/>
          <w:color w:val="000000" w:themeColor="text1"/>
          <w:sz w:val="22"/>
          <w:szCs w:val="22"/>
        </w:rPr>
        <w:t xml:space="preserve"> or the two-question option </w:t>
      </w:r>
      <w:r w:rsidR="002002FD" w:rsidRPr="001F4999">
        <w:rPr>
          <w:rFonts w:eastAsia="Times New Roman,Arial,Times New"/>
          <w:color w:val="000000" w:themeColor="text1"/>
          <w:sz w:val="22"/>
          <w:szCs w:val="22"/>
          <w:vertAlign w:val="superscript"/>
        </w:rPr>
        <w:t>25</w:t>
      </w:r>
      <w:r w:rsidR="00814B30" w:rsidRPr="001F4999">
        <w:rPr>
          <w:rFonts w:eastAsia="Times New Roman,Arial,Times New"/>
          <w:color w:val="000000" w:themeColor="text1"/>
          <w:sz w:val="22"/>
          <w:szCs w:val="22"/>
        </w:rPr>
        <w:t>.  The “S</w:t>
      </w:r>
      <w:r w:rsidR="00364A85" w:rsidRPr="001F4999">
        <w:rPr>
          <w:rFonts w:eastAsia="Times New Roman,Arial,Times New"/>
          <w:color w:val="000000" w:themeColor="text1"/>
          <w:sz w:val="22"/>
          <w:szCs w:val="22"/>
        </w:rPr>
        <w:t>ix-Item Short Form”</w:t>
      </w:r>
      <w:r w:rsidR="00814B30" w:rsidRPr="001F4999">
        <w:rPr>
          <w:rFonts w:eastAsia="Times New Roman,Arial,Times New"/>
          <w:color w:val="000000" w:themeColor="text1"/>
          <w:sz w:val="22"/>
          <w:szCs w:val="22"/>
        </w:rPr>
        <w:t xml:space="preserve"> quickly assess</w:t>
      </w:r>
      <w:r w:rsidR="00364A85" w:rsidRPr="001F4999">
        <w:rPr>
          <w:rFonts w:eastAsia="Times New Roman,Arial,Times New"/>
          <w:color w:val="000000" w:themeColor="text1"/>
          <w:sz w:val="22"/>
          <w:szCs w:val="22"/>
        </w:rPr>
        <w:t>es</w:t>
      </w:r>
      <w:r w:rsidR="00814B30" w:rsidRPr="001F4999">
        <w:rPr>
          <w:rFonts w:eastAsia="Times New Roman,Arial,Times New"/>
          <w:color w:val="000000" w:themeColor="text1"/>
          <w:sz w:val="22"/>
          <w:szCs w:val="22"/>
        </w:rPr>
        <w:t xml:space="preserve"> food insecurity among older adults </w:t>
      </w:r>
      <w:r w:rsidR="002002FD" w:rsidRPr="001F4999">
        <w:rPr>
          <w:rFonts w:eastAsia="Times New Roman,Arial,Times New"/>
          <w:color w:val="000000" w:themeColor="text1"/>
          <w:sz w:val="22"/>
          <w:szCs w:val="22"/>
          <w:vertAlign w:val="superscript"/>
        </w:rPr>
        <w:t>62</w:t>
      </w:r>
      <w:r w:rsidR="00814B30" w:rsidRPr="001F4999">
        <w:rPr>
          <w:rFonts w:eastAsia="Times New Roman,Arial,Times New"/>
          <w:color w:val="000000" w:themeColor="text1"/>
          <w:sz w:val="22"/>
          <w:szCs w:val="22"/>
        </w:rPr>
        <w:t xml:space="preserve">. A two-question subset from this short form has a sensitivity of 96% and higher and a specificity of 79% and higher </w:t>
      </w:r>
      <w:r w:rsidR="002002FD" w:rsidRPr="001F4999">
        <w:rPr>
          <w:rFonts w:eastAsia="Times New Roman,Arial,Times New"/>
          <w:color w:val="000000" w:themeColor="text1"/>
          <w:sz w:val="22"/>
          <w:szCs w:val="22"/>
          <w:vertAlign w:val="superscript"/>
        </w:rPr>
        <w:t>25</w:t>
      </w:r>
      <w:r w:rsidR="00814B30" w:rsidRPr="001F4999">
        <w:rPr>
          <w:rFonts w:eastAsia="Times New Roman,Arial,Times New"/>
          <w:color w:val="000000" w:themeColor="text1"/>
          <w:sz w:val="22"/>
          <w:szCs w:val="22"/>
        </w:rPr>
        <w:t xml:space="preserve">. </w:t>
      </w:r>
    </w:p>
    <w:p w14:paraId="4FD3AE64" w14:textId="77777777" w:rsidR="00814B30" w:rsidRPr="001F4999" w:rsidRDefault="00814B30" w:rsidP="002C38B5">
      <w:pPr>
        <w:pStyle w:val="NormalWeb"/>
        <w:shd w:val="clear" w:color="auto" w:fill="FFFFFF"/>
        <w:spacing w:before="0" w:beforeAutospacing="0" w:after="0" w:afterAutospacing="0"/>
        <w:rPr>
          <w:rFonts w:eastAsia="Times New Roman,Arial,Times New"/>
          <w:color w:val="000000" w:themeColor="text1"/>
          <w:sz w:val="22"/>
          <w:szCs w:val="22"/>
        </w:rPr>
      </w:pPr>
    </w:p>
    <w:p w14:paraId="06D61097" w14:textId="77777777" w:rsidR="00814B30" w:rsidRPr="001F4999" w:rsidRDefault="00814B30" w:rsidP="002C38B5">
      <w:pPr>
        <w:pStyle w:val="NormalWeb"/>
        <w:shd w:val="clear" w:color="auto" w:fill="FFFFFF"/>
        <w:spacing w:before="0" w:beforeAutospacing="0" w:after="0" w:afterAutospacing="0"/>
        <w:rPr>
          <w:rFonts w:eastAsia="Times New Roman,Arial,Times New"/>
          <w:i/>
          <w:color w:val="000000" w:themeColor="text1"/>
          <w:sz w:val="22"/>
          <w:szCs w:val="22"/>
        </w:rPr>
      </w:pPr>
      <w:r w:rsidRPr="001F4999">
        <w:rPr>
          <w:rFonts w:eastAsia="Times New Roman,Arial,Times New"/>
          <w:i/>
          <w:color w:val="000000" w:themeColor="text1"/>
          <w:sz w:val="22"/>
          <w:szCs w:val="22"/>
        </w:rPr>
        <w:t>Quality of Life (QOL)</w:t>
      </w:r>
    </w:p>
    <w:p w14:paraId="5D4737A9" w14:textId="4A92D356" w:rsidR="00814B30" w:rsidRPr="001F4999" w:rsidRDefault="00CA23F5" w:rsidP="002C38B5">
      <w:pPr>
        <w:pStyle w:val="NormalWeb"/>
        <w:shd w:val="clear" w:color="auto" w:fill="FFFFFF"/>
        <w:spacing w:before="0" w:beforeAutospacing="0" w:after="0" w:afterAutospacing="0"/>
        <w:ind w:firstLine="720"/>
        <w:rPr>
          <w:sz w:val="22"/>
          <w:szCs w:val="22"/>
        </w:rPr>
      </w:pPr>
      <w:r w:rsidRPr="001F4999">
        <w:rPr>
          <w:rFonts w:eastAsia="Times New Roman,Arial,Times New"/>
          <w:color w:val="000000" w:themeColor="text1"/>
          <w:sz w:val="22"/>
          <w:szCs w:val="22"/>
        </w:rPr>
        <w:t xml:space="preserve">We will assess </w:t>
      </w:r>
      <w:r w:rsidR="00814B30" w:rsidRPr="001F4999">
        <w:rPr>
          <w:rFonts w:eastAsia="Times New Roman,Arial,Times New"/>
          <w:color w:val="000000" w:themeColor="text1"/>
          <w:sz w:val="22"/>
          <w:szCs w:val="22"/>
        </w:rPr>
        <w:t xml:space="preserve">QOL </w:t>
      </w:r>
      <w:r w:rsidR="004E51F0" w:rsidRPr="001F4999">
        <w:rPr>
          <w:rFonts w:eastAsia="Times New Roman,Arial,Times New"/>
          <w:color w:val="000000" w:themeColor="text1"/>
          <w:sz w:val="22"/>
          <w:szCs w:val="22"/>
        </w:rPr>
        <w:t>using</w:t>
      </w:r>
      <w:r w:rsidR="00814B30" w:rsidRPr="001F4999">
        <w:rPr>
          <w:rFonts w:eastAsia="Times New Roman,Arial,Times New"/>
          <w:color w:val="000000" w:themeColor="text1"/>
          <w:sz w:val="22"/>
          <w:szCs w:val="22"/>
        </w:rPr>
        <w:t xml:space="preserve"> one of the following tools</w:t>
      </w:r>
      <w:r w:rsidR="00814B30" w:rsidRPr="001F4999">
        <w:rPr>
          <w:rFonts w:eastAsia="Calibri"/>
          <w:iCs/>
          <w:sz w:val="22"/>
          <w:szCs w:val="22"/>
        </w:rPr>
        <w:t xml:space="preserve">: </w:t>
      </w:r>
      <w:r w:rsidR="00814B30" w:rsidRPr="001F4999">
        <w:rPr>
          <w:rFonts w:eastAsia="Calibri"/>
          <w:bCs/>
          <w:sz w:val="22"/>
          <w:szCs w:val="22"/>
        </w:rPr>
        <w:t xml:space="preserve">Satisfaction with Life Scale (SWLS) </w:t>
      </w:r>
      <w:r w:rsidR="002002FD" w:rsidRPr="001F4999">
        <w:rPr>
          <w:rFonts w:eastAsia="Calibri"/>
          <w:bCs/>
          <w:sz w:val="22"/>
          <w:szCs w:val="22"/>
          <w:vertAlign w:val="superscript"/>
        </w:rPr>
        <w:t>15</w:t>
      </w:r>
      <w:r w:rsidR="00814B30" w:rsidRPr="001F4999">
        <w:rPr>
          <w:rFonts w:eastAsia="Calibri"/>
          <w:bCs/>
          <w:sz w:val="22"/>
          <w:szCs w:val="22"/>
        </w:rPr>
        <w:t xml:space="preserve">, </w:t>
      </w:r>
      <w:r w:rsidR="00814B30" w:rsidRPr="001F4999">
        <w:rPr>
          <w:sz w:val="22"/>
          <w:szCs w:val="22"/>
        </w:rPr>
        <w:t xml:space="preserve">food satisfaction will be measured using the Satisfaction With Food-Related Life (SWFL) scale </w:t>
      </w:r>
      <w:r w:rsidR="002002FD" w:rsidRPr="001F4999">
        <w:rPr>
          <w:sz w:val="22"/>
          <w:szCs w:val="22"/>
          <w:vertAlign w:val="superscript"/>
        </w:rPr>
        <w:t>24</w:t>
      </w:r>
      <w:r w:rsidR="00814B30" w:rsidRPr="001F4999">
        <w:rPr>
          <w:sz w:val="22"/>
          <w:szCs w:val="22"/>
        </w:rPr>
        <w:t xml:space="preserve">, </w:t>
      </w:r>
      <w:r w:rsidR="002002FD" w:rsidRPr="001F4999">
        <w:rPr>
          <w:sz w:val="22"/>
          <w:szCs w:val="22"/>
        </w:rPr>
        <w:t>or</w:t>
      </w:r>
      <w:r w:rsidR="00814B30" w:rsidRPr="001F4999">
        <w:rPr>
          <w:sz w:val="22"/>
          <w:szCs w:val="22"/>
        </w:rPr>
        <w:t xml:space="preserve"> the deJong Gieveld 6-item loneliness scale </w:t>
      </w:r>
      <w:r w:rsidR="002002FD" w:rsidRPr="001F4999">
        <w:rPr>
          <w:sz w:val="22"/>
          <w:szCs w:val="22"/>
          <w:vertAlign w:val="superscript"/>
        </w:rPr>
        <w:t>13</w:t>
      </w:r>
      <w:r w:rsidR="00814B30" w:rsidRPr="001F4999">
        <w:rPr>
          <w:sz w:val="22"/>
          <w:szCs w:val="22"/>
        </w:rPr>
        <w:t xml:space="preserve">. The validated SWLS is a measure of subjective well-being. It is a 5-item 7-point Likert scale questionnaire used as measure of global cognitive judgments of satisfaction with one’s life </w:t>
      </w:r>
      <w:r w:rsidR="002002FD" w:rsidRPr="001F4999">
        <w:rPr>
          <w:sz w:val="22"/>
          <w:szCs w:val="22"/>
          <w:vertAlign w:val="superscript"/>
        </w:rPr>
        <w:t>15</w:t>
      </w:r>
      <w:r w:rsidR="00814B30" w:rsidRPr="001F4999">
        <w:rPr>
          <w:sz w:val="22"/>
          <w:szCs w:val="22"/>
        </w:rPr>
        <w:t xml:space="preserve">. The SWFL scale is comprised of five questions on a 6-point Likert scale centered on food and meals </w:t>
      </w:r>
      <w:r w:rsidR="002002FD" w:rsidRPr="001F4999">
        <w:rPr>
          <w:sz w:val="22"/>
          <w:szCs w:val="22"/>
          <w:vertAlign w:val="superscript"/>
        </w:rPr>
        <w:t>24</w:t>
      </w:r>
      <w:r w:rsidR="00814B30" w:rsidRPr="001F4999">
        <w:rPr>
          <w:sz w:val="22"/>
          <w:szCs w:val="22"/>
        </w:rPr>
        <w:t xml:space="preserve">. The loneliness scale is comprised of six questions and assesses emotional loneliness and social loneliness </w:t>
      </w:r>
      <w:r w:rsidR="002002FD" w:rsidRPr="001F4999">
        <w:rPr>
          <w:sz w:val="22"/>
          <w:szCs w:val="22"/>
          <w:vertAlign w:val="superscript"/>
        </w:rPr>
        <w:t>13</w:t>
      </w:r>
      <w:r w:rsidR="00814B30" w:rsidRPr="001F4999">
        <w:rPr>
          <w:sz w:val="22"/>
          <w:szCs w:val="22"/>
        </w:rPr>
        <w:t>.</w:t>
      </w:r>
    </w:p>
    <w:p w14:paraId="102F4130" w14:textId="77777777" w:rsidR="00814B30" w:rsidRPr="001F4999" w:rsidRDefault="00814B30" w:rsidP="002C38B5">
      <w:pPr>
        <w:pStyle w:val="NormalWeb"/>
        <w:shd w:val="clear" w:color="auto" w:fill="FFFFFF"/>
        <w:spacing w:before="0" w:beforeAutospacing="0" w:after="0" w:afterAutospacing="0"/>
        <w:ind w:firstLine="720"/>
        <w:rPr>
          <w:sz w:val="22"/>
          <w:szCs w:val="22"/>
        </w:rPr>
      </w:pPr>
    </w:p>
    <w:p w14:paraId="7FE48C66" w14:textId="77777777" w:rsidR="00814B30" w:rsidRPr="001F4999" w:rsidRDefault="00814B30" w:rsidP="002C38B5">
      <w:pPr>
        <w:spacing w:after="0" w:line="240" w:lineRule="auto"/>
        <w:rPr>
          <w:rFonts w:ascii="Times New Roman" w:hAnsi="Times New Roman" w:cs="Times New Roman"/>
          <w:i/>
        </w:rPr>
      </w:pPr>
      <w:r w:rsidRPr="001F4999">
        <w:rPr>
          <w:rFonts w:ascii="Times New Roman" w:hAnsi="Times New Roman" w:cs="Times New Roman"/>
          <w:i/>
        </w:rPr>
        <w:t>Physical Activity</w:t>
      </w:r>
    </w:p>
    <w:p w14:paraId="1A8FF483" w14:textId="225444D3" w:rsidR="00DA70B0" w:rsidRPr="001F4999" w:rsidRDefault="003609FA" w:rsidP="002C38B5">
      <w:pPr>
        <w:spacing w:after="0" w:line="240" w:lineRule="auto"/>
        <w:ind w:firstLine="720"/>
        <w:rPr>
          <w:rFonts w:ascii="Times New Roman" w:hAnsi="Times New Roman" w:cs="Times New Roman"/>
        </w:rPr>
      </w:pPr>
      <w:r w:rsidRPr="001F4999">
        <w:rPr>
          <w:rFonts w:ascii="Times New Roman" w:hAnsi="Times New Roman" w:cs="Times New Roman"/>
        </w:rPr>
        <w:t>T</w:t>
      </w:r>
      <w:r w:rsidR="00DA70B0" w:rsidRPr="001F4999">
        <w:rPr>
          <w:rFonts w:ascii="Times New Roman" w:hAnsi="Times New Roman" w:cs="Times New Roman"/>
        </w:rPr>
        <w:t>he validated Yale Physical Activity Survey (YPAS) estimates caloric expenditure of habitual physical activity, including exercise activities, chores, and leisure activities in older adults</w:t>
      </w:r>
      <w:r w:rsidRPr="001F4999">
        <w:rPr>
          <w:rFonts w:ascii="Times New Roman" w:hAnsi="Times New Roman" w:cs="Times New Roman"/>
        </w:rPr>
        <w:t xml:space="preserve"> </w:t>
      </w:r>
      <w:r w:rsidR="002002FD" w:rsidRPr="001F4999">
        <w:rPr>
          <w:rFonts w:ascii="Times New Roman" w:hAnsi="Times New Roman" w:cs="Times New Roman"/>
          <w:vertAlign w:val="superscript"/>
        </w:rPr>
        <w:t>16, 68</w:t>
      </w:r>
      <w:r w:rsidRPr="001F4999">
        <w:rPr>
          <w:rFonts w:ascii="Times New Roman" w:hAnsi="Times New Roman" w:cs="Times New Roman"/>
        </w:rPr>
        <w:t>. It</w:t>
      </w:r>
      <w:r w:rsidR="006D7F49" w:rsidRPr="001F4999">
        <w:rPr>
          <w:rFonts w:ascii="Times New Roman" w:hAnsi="Times New Roman" w:cs="Times New Roman"/>
        </w:rPr>
        <w:t xml:space="preserve"> is</w:t>
      </w:r>
      <w:r w:rsidR="00DA70B0" w:rsidRPr="001F4999">
        <w:rPr>
          <w:rFonts w:ascii="Times New Roman" w:hAnsi="Times New Roman" w:cs="Times New Roman"/>
        </w:rPr>
        <w:t xml:space="preserve"> valid and reliable </w:t>
      </w:r>
      <w:r w:rsidR="006D7F49" w:rsidRPr="001F4999">
        <w:rPr>
          <w:rFonts w:ascii="Times New Roman" w:hAnsi="Times New Roman" w:cs="Times New Roman"/>
        </w:rPr>
        <w:t xml:space="preserve">when used </w:t>
      </w:r>
      <w:r w:rsidR="001845A5" w:rsidRPr="001F4999">
        <w:rPr>
          <w:rFonts w:ascii="Times New Roman" w:hAnsi="Times New Roman" w:cs="Times New Roman"/>
        </w:rPr>
        <w:t>with adults</w:t>
      </w:r>
      <w:r w:rsidR="00DA70B0" w:rsidRPr="001F4999">
        <w:rPr>
          <w:rFonts w:ascii="Times New Roman" w:hAnsi="Times New Roman" w:cs="Times New Roman"/>
        </w:rPr>
        <w:t xml:space="preserve"> aged 60-86 years. </w:t>
      </w:r>
      <w:r w:rsidR="00364A85" w:rsidRPr="001F4999">
        <w:rPr>
          <w:rFonts w:ascii="Times New Roman" w:hAnsi="Times New Roman" w:cs="Times New Roman"/>
        </w:rPr>
        <w:t xml:space="preserve">Since </w:t>
      </w:r>
      <w:r w:rsidR="00DA70B0" w:rsidRPr="001F4999">
        <w:rPr>
          <w:rFonts w:ascii="Times New Roman" w:hAnsi="Times New Roman" w:cs="Times New Roman"/>
        </w:rPr>
        <w:t xml:space="preserve">there are no questions regarding specific exercises such as resistance training, we will ask a few additional questions regarding whether they have recently engaged in resistance training or other exercises including recent frequency, duration, and intensity. </w:t>
      </w:r>
    </w:p>
    <w:p w14:paraId="3A8A2E81" w14:textId="77777777" w:rsidR="0072726A" w:rsidRPr="001F4999" w:rsidRDefault="0072726A" w:rsidP="002C38B5">
      <w:pPr>
        <w:spacing w:after="0" w:line="240" w:lineRule="auto"/>
        <w:rPr>
          <w:rFonts w:ascii="Times New Roman" w:hAnsi="Times New Roman" w:cs="Times New Roman"/>
          <w:i/>
        </w:rPr>
      </w:pPr>
    </w:p>
    <w:p w14:paraId="5D051348" w14:textId="744FF580" w:rsidR="00DA70B0" w:rsidRPr="001F4999" w:rsidRDefault="00DA70B0" w:rsidP="002C38B5">
      <w:pPr>
        <w:spacing w:after="0" w:line="240" w:lineRule="auto"/>
        <w:rPr>
          <w:rFonts w:ascii="Times New Roman" w:hAnsi="Times New Roman" w:cs="Times New Roman"/>
          <w:i/>
        </w:rPr>
      </w:pPr>
      <w:r w:rsidRPr="001F4999">
        <w:rPr>
          <w:rFonts w:ascii="Times New Roman" w:hAnsi="Times New Roman" w:cs="Times New Roman"/>
          <w:i/>
        </w:rPr>
        <w:lastRenderedPageBreak/>
        <w:t>Physical Function</w:t>
      </w:r>
    </w:p>
    <w:p w14:paraId="0A441F20" w14:textId="228790FA" w:rsidR="00D463E3" w:rsidRPr="001F4999" w:rsidRDefault="00D463E3" w:rsidP="002C38B5">
      <w:pPr>
        <w:spacing w:after="0" w:line="240" w:lineRule="auto"/>
        <w:ind w:firstLine="720"/>
        <w:rPr>
          <w:rFonts w:ascii="Times New Roman" w:hAnsi="Times New Roman" w:cs="Times New Roman"/>
        </w:rPr>
      </w:pPr>
      <w:r w:rsidRPr="001F4999">
        <w:rPr>
          <w:rFonts w:ascii="Times New Roman" w:hAnsi="Times New Roman" w:cs="Times New Roman"/>
        </w:rPr>
        <w:t xml:space="preserve">Physical function will be assessed using at least one of the following tests: static handgrip strength </w:t>
      </w:r>
      <w:r w:rsidR="002002FD" w:rsidRPr="001F4999">
        <w:rPr>
          <w:rFonts w:ascii="Times New Roman" w:hAnsi="Times New Roman" w:cs="Times New Roman"/>
          <w:vertAlign w:val="superscript"/>
        </w:rPr>
        <w:t>36, 42, 48, 52</w:t>
      </w:r>
      <w:r w:rsidRPr="001F4999">
        <w:rPr>
          <w:rFonts w:ascii="Times New Roman" w:hAnsi="Times New Roman" w:cs="Times New Roman"/>
        </w:rPr>
        <w:t xml:space="preserve"> the Short Physical Performance Battery Protocol (SPPB)</w:t>
      </w:r>
      <w:r w:rsidR="00360216" w:rsidRPr="001F4999">
        <w:rPr>
          <w:rFonts w:ascii="Times New Roman" w:hAnsi="Times New Roman" w:cs="Times New Roman"/>
        </w:rPr>
        <w:t xml:space="preserve"> </w:t>
      </w:r>
      <w:r w:rsidR="002002FD" w:rsidRPr="001F4999">
        <w:rPr>
          <w:rFonts w:ascii="Times New Roman" w:hAnsi="Times New Roman" w:cs="Times New Roman"/>
          <w:vertAlign w:val="superscript"/>
        </w:rPr>
        <w:t>27, 28</w:t>
      </w:r>
      <w:r w:rsidRPr="001F4999">
        <w:rPr>
          <w:rFonts w:ascii="Times New Roman" w:hAnsi="Times New Roman" w:cs="Times New Roman"/>
        </w:rPr>
        <w:t xml:space="preserve">, and a </w:t>
      </w:r>
      <w:r w:rsidR="009929FD" w:rsidRPr="001F4999">
        <w:rPr>
          <w:rFonts w:ascii="Times New Roman" w:hAnsi="Times New Roman" w:cs="Times New Roman"/>
        </w:rPr>
        <w:t>400-</w:t>
      </w:r>
      <w:r w:rsidRPr="001F4999">
        <w:rPr>
          <w:rFonts w:ascii="Times New Roman" w:hAnsi="Times New Roman" w:cs="Times New Roman"/>
        </w:rPr>
        <w:t>meter walk test</w:t>
      </w:r>
      <w:r w:rsidR="002002FD" w:rsidRPr="001F4999">
        <w:rPr>
          <w:rFonts w:ascii="Times New Roman" w:hAnsi="Times New Roman" w:cs="Times New Roman"/>
        </w:rPr>
        <w:t xml:space="preserve"> </w:t>
      </w:r>
      <w:r w:rsidR="002002FD" w:rsidRPr="001F4999">
        <w:rPr>
          <w:rFonts w:ascii="Times New Roman" w:hAnsi="Times New Roman" w:cs="Times New Roman"/>
          <w:vertAlign w:val="superscript"/>
        </w:rPr>
        <w:t>51, 65</w:t>
      </w:r>
      <w:r w:rsidRPr="001F4999">
        <w:rPr>
          <w:rFonts w:ascii="Times New Roman" w:hAnsi="Times New Roman" w:cs="Times New Roman"/>
        </w:rPr>
        <w:t>.</w:t>
      </w:r>
    </w:p>
    <w:p w14:paraId="26C1A573" w14:textId="57C71901" w:rsidR="00DA70B0" w:rsidRPr="001F4999" w:rsidRDefault="00DA70B0" w:rsidP="002C38B5">
      <w:pPr>
        <w:spacing w:after="0" w:line="240" w:lineRule="auto"/>
        <w:ind w:firstLine="720"/>
        <w:rPr>
          <w:rFonts w:ascii="Times New Roman" w:hAnsi="Times New Roman" w:cs="Times New Roman"/>
        </w:rPr>
      </w:pPr>
      <w:r w:rsidRPr="001F4999">
        <w:rPr>
          <w:rFonts w:ascii="Times New Roman" w:hAnsi="Times New Roman" w:cs="Times New Roman"/>
        </w:rPr>
        <w:t xml:space="preserve">Static </w:t>
      </w:r>
      <w:r w:rsidR="00D463E3" w:rsidRPr="001F4999">
        <w:rPr>
          <w:rFonts w:ascii="Times New Roman" w:hAnsi="Times New Roman" w:cs="Times New Roman"/>
        </w:rPr>
        <w:t>h</w:t>
      </w:r>
      <w:r w:rsidRPr="001F4999">
        <w:rPr>
          <w:rFonts w:ascii="Times New Roman" w:hAnsi="Times New Roman" w:cs="Times New Roman"/>
        </w:rPr>
        <w:t xml:space="preserve">andgrip </w:t>
      </w:r>
      <w:r w:rsidR="00D463E3" w:rsidRPr="001F4999">
        <w:rPr>
          <w:rFonts w:ascii="Times New Roman" w:hAnsi="Times New Roman" w:cs="Times New Roman"/>
        </w:rPr>
        <w:t>s</w:t>
      </w:r>
      <w:r w:rsidRPr="001F4999">
        <w:rPr>
          <w:rFonts w:ascii="Times New Roman" w:hAnsi="Times New Roman" w:cs="Times New Roman"/>
        </w:rPr>
        <w:t>trength is a simple, safe, reliable and valid predictor of total body strength, physical functioning, and future disabilit</w:t>
      </w:r>
      <w:r w:rsidR="00D463E3" w:rsidRPr="001F4999">
        <w:rPr>
          <w:rFonts w:ascii="Times New Roman" w:hAnsi="Times New Roman" w:cs="Times New Roman"/>
        </w:rPr>
        <w:t>y</w:t>
      </w:r>
      <w:r w:rsidRPr="001F4999">
        <w:rPr>
          <w:rFonts w:ascii="Times New Roman" w:hAnsi="Times New Roman" w:cs="Times New Roman"/>
        </w:rPr>
        <w:t xml:space="preserve"> and will be done using a hand-grip dynamometer (Jaymar Hydraulic Dynamometer, J.A. Preston, Corp., Jackson, MS)</w:t>
      </w:r>
      <w:r w:rsidR="00360216" w:rsidRPr="001F4999">
        <w:rPr>
          <w:rFonts w:ascii="Times New Roman" w:hAnsi="Times New Roman" w:cs="Times New Roman"/>
        </w:rPr>
        <w:t xml:space="preserve"> </w:t>
      </w:r>
      <w:r w:rsidR="00E409C9" w:rsidRPr="001F4999">
        <w:rPr>
          <w:rFonts w:ascii="Times New Roman" w:hAnsi="Times New Roman" w:cs="Times New Roman"/>
          <w:vertAlign w:val="superscript"/>
        </w:rPr>
        <w:t>36, 42, 48, 52</w:t>
      </w:r>
      <w:r w:rsidRPr="001F4999">
        <w:rPr>
          <w:rFonts w:ascii="Times New Roman" w:hAnsi="Times New Roman" w:cs="Times New Roman"/>
        </w:rPr>
        <w:t>.  Participants will perform the grip strength test in a seated position using their dominant arm with the elbow flexed at a 90</w:t>
      </w:r>
      <w:r w:rsidR="00D463E3" w:rsidRPr="001F4999">
        <w:rPr>
          <w:rFonts w:ascii="Times New Roman" w:hAnsi="Times New Roman" w:cs="Times New Roman"/>
        </w:rPr>
        <w:t>-</w:t>
      </w:r>
      <w:r w:rsidRPr="001F4999">
        <w:rPr>
          <w:rFonts w:ascii="Times New Roman" w:hAnsi="Times New Roman" w:cs="Times New Roman"/>
        </w:rPr>
        <w:t xml:space="preserve">degree angle.  </w:t>
      </w:r>
      <w:r w:rsidR="009929FD" w:rsidRPr="001F4999">
        <w:rPr>
          <w:rFonts w:ascii="Times New Roman" w:hAnsi="Times New Roman" w:cs="Times New Roman"/>
        </w:rPr>
        <w:t>They</w:t>
      </w:r>
      <w:r w:rsidRPr="001F4999">
        <w:rPr>
          <w:rFonts w:ascii="Times New Roman" w:hAnsi="Times New Roman" w:cs="Times New Roman"/>
        </w:rPr>
        <w:t xml:space="preserve"> will be instructed using standardized oral encouragement to squeeze the dynamometer with as much force as possible and highest force attained will be recorded.  Three trials separated by a 1</w:t>
      </w:r>
      <w:r w:rsidR="00D463E3" w:rsidRPr="001F4999">
        <w:rPr>
          <w:rFonts w:ascii="Times New Roman" w:hAnsi="Times New Roman" w:cs="Times New Roman"/>
        </w:rPr>
        <w:t>-</w:t>
      </w:r>
      <w:r w:rsidRPr="001F4999">
        <w:rPr>
          <w:rFonts w:ascii="Times New Roman" w:hAnsi="Times New Roman" w:cs="Times New Roman"/>
        </w:rPr>
        <w:t xml:space="preserve">minute rest period will be done and the highest force will be used.  </w:t>
      </w:r>
    </w:p>
    <w:p w14:paraId="6F15CDA5" w14:textId="5FF93832" w:rsidR="00360216" w:rsidRPr="001F4999" w:rsidRDefault="00DA70B0" w:rsidP="002C38B5">
      <w:pPr>
        <w:spacing w:after="0" w:line="240" w:lineRule="auto"/>
        <w:ind w:firstLine="720"/>
        <w:rPr>
          <w:rFonts w:ascii="Times New Roman" w:hAnsi="Times New Roman" w:cs="Times New Roman"/>
        </w:rPr>
      </w:pPr>
      <w:r w:rsidRPr="001F4999">
        <w:rPr>
          <w:rFonts w:ascii="Times New Roman" w:hAnsi="Times New Roman" w:cs="Times New Roman"/>
        </w:rPr>
        <w:t>The SPPB includes three balance tests, a gait sp</w:t>
      </w:r>
      <w:r w:rsidR="00360216" w:rsidRPr="001F4999">
        <w:rPr>
          <w:rFonts w:ascii="Times New Roman" w:hAnsi="Times New Roman" w:cs="Times New Roman"/>
        </w:rPr>
        <w:t xml:space="preserve">eed test and a chair stand test </w:t>
      </w:r>
      <w:r w:rsidR="00E409C9" w:rsidRPr="001F4999">
        <w:rPr>
          <w:rFonts w:ascii="Times New Roman" w:hAnsi="Times New Roman" w:cs="Times New Roman"/>
          <w:vertAlign w:val="superscript"/>
        </w:rPr>
        <w:t>27, 28</w:t>
      </w:r>
      <w:r w:rsidR="00360216" w:rsidRPr="001F4999">
        <w:rPr>
          <w:rFonts w:ascii="Times New Roman" w:hAnsi="Times New Roman" w:cs="Times New Roman"/>
        </w:rPr>
        <w:t>.</w:t>
      </w:r>
      <w:r w:rsidR="00320311" w:rsidRPr="001F4999">
        <w:rPr>
          <w:rFonts w:ascii="Times New Roman" w:hAnsi="Times New Roman" w:cs="Times New Roman"/>
        </w:rPr>
        <w:t xml:space="preserve"> </w:t>
      </w:r>
      <w:r w:rsidR="003609FA" w:rsidRPr="001F4999">
        <w:rPr>
          <w:rFonts w:ascii="Times New Roman" w:hAnsi="Times New Roman" w:cs="Times New Roman"/>
        </w:rPr>
        <w:t>W</w:t>
      </w:r>
      <w:r w:rsidRPr="001F4999">
        <w:rPr>
          <w:rFonts w:ascii="Times New Roman" w:hAnsi="Times New Roman" w:cs="Times New Roman"/>
        </w:rPr>
        <w:t>alking speed will be measured by requesting the participant to wal</w:t>
      </w:r>
      <w:r w:rsidR="00320311" w:rsidRPr="001F4999">
        <w:rPr>
          <w:rFonts w:ascii="Times New Roman" w:hAnsi="Times New Roman" w:cs="Times New Roman"/>
        </w:rPr>
        <w:t>k at their normal pace over a 4</w:t>
      </w:r>
      <w:r w:rsidRPr="001F4999">
        <w:rPr>
          <w:rFonts w:ascii="Times New Roman" w:hAnsi="Times New Roman" w:cs="Times New Roman"/>
        </w:rPr>
        <w:t>m distance. Time in seconds to complete the full course will be recorded. Two attempts will be done, and the faster of the two times will be used. A 46-cm high straight-back chair will be used to complete the repeated chair stand test, and participants will be instructed to stand up from the chair once without u</w:t>
      </w:r>
      <w:r w:rsidR="00320311" w:rsidRPr="001F4999">
        <w:rPr>
          <w:rFonts w:ascii="Times New Roman" w:hAnsi="Times New Roman" w:cs="Times New Roman"/>
        </w:rPr>
        <w:t>sing their arms for assistance.</w:t>
      </w:r>
      <w:r w:rsidRPr="001F4999">
        <w:rPr>
          <w:rFonts w:ascii="Times New Roman" w:hAnsi="Times New Roman" w:cs="Times New Roman"/>
        </w:rPr>
        <w:t xml:space="preserve"> If a participant is able to complete one chair stand, </w:t>
      </w:r>
      <w:r w:rsidR="00320311" w:rsidRPr="001F4999">
        <w:rPr>
          <w:rFonts w:ascii="Times New Roman" w:hAnsi="Times New Roman" w:cs="Times New Roman"/>
        </w:rPr>
        <w:t>he/she</w:t>
      </w:r>
      <w:r w:rsidRPr="001F4999">
        <w:rPr>
          <w:rFonts w:ascii="Times New Roman" w:hAnsi="Times New Roman" w:cs="Times New Roman"/>
        </w:rPr>
        <w:t xml:space="preserve"> will be asked to stand up and sit back down five times as quickly as possible, and the time to complete one series of five chair stands will be recorded.</w:t>
      </w:r>
      <w:r w:rsidR="00320311" w:rsidRPr="001F4999">
        <w:rPr>
          <w:rFonts w:ascii="Times New Roman" w:hAnsi="Times New Roman" w:cs="Times New Roman"/>
          <w:i/>
        </w:rPr>
        <w:t xml:space="preserve"> </w:t>
      </w:r>
      <w:r w:rsidRPr="001F4999">
        <w:rPr>
          <w:rFonts w:ascii="Times New Roman" w:hAnsi="Times New Roman" w:cs="Times New Roman"/>
        </w:rPr>
        <w:t xml:space="preserve">Participants will be instructed to sustain balance in three different positions distinguished by sequential narrowing </w:t>
      </w:r>
      <w:r w:rsidR="00320311" w:rsidRPr="001F4999">
        <w:rPr>
          <w:rFonts w:ascii="Times New Roman" w:hAnsi="Times New Roman" w:cs="Times New Roman"/>
        </w:rPr>
        <w:t xml:space="preserve">of the base of support. </w:t>
      </w:r>
      <w:r w:rsidRPr="001F4999">
        <w:rPr>
          <w:rFonts w:ascii="Times New Roman" w:hAnsi="Times New Roman" w:cs="Times New Roman"/>
        </w:rPr>
        <w:t>Position one will begin with feet together (i.e. side by side); position two will consist of the heel of one foot next to the big toe of the other foot (i.e. semi-tandem); the last position will have the heel of one foot in front of and touching the toes of</w:t>
      </w:r>
      <w:r w:rsidR="00320311" w:rsidRPr="001F4999">
        <w:rPr>
          <w:rFonts w:ascii="Times New Roman" w:hAnsi="Times New Roman" w:cs="Times New Roman"/>
        </w:rPr>
        <w:t xml:space="preserve"> the other foot (i.e. tandem). </w:t>
      </w:r>
      <w:r w:rsidRPr="001F4999">
        <w:rPr>
          <w:rFonts w:ascii="Times New Roman" w:hAnsi="Times New Roman" w:cs="Times New Roman"/>
        </w:rPr>
        <w:t>For all three positions, participants will be timed for a maximum of 10 seconds, and scores will be summed for the measure of balance f</w:t>
      </w:r>
      <w:r w:rsidR="00320311" w:rsidRPr="001F4999">
        <w:rPr>
          <w:rFonts w:ascii="Times New Roman" w:hAnsi="Times New Roman" w:cs="Times New Roman"/>
        </w:rPr>
        <w:t xml:space="preserve">or a range of 0 to 30 seconds. </w:t>
      </w:r>
      <w:r w:rsidRPr="001F4999">
        <w:rPr>
          <w:rFonts w:ascii="Times New Roman" w:hAnsi="Times New Roman" w:cs="Times New Roman"/>
        </w:rPr>
        <w:t xml:space="preserve">Scores from 0 </w:t>
      </w:r>
      <w:r w:rsidR="00320311" w:rsidRPr="001F4999">
        <w:rPr>
          <w:rFonts w:ascii="Times New Roman" w:hAnsi="Times New Roman" w:cs="Times New Roman"/>
        </w:rPr>
        <w:t>(</w:t>
      </w:r>
      <w:r w:rsidRPr="001F4999">
        <w:rPr>
          <w:rFonts w:ascii="Times New Roman" w:hAnsi="Times New Roman" w:cs="Times New Roman"/>
        </w:rPr>
        <w:t>inabili</w:t>
      </w:r>
      <w:r w:rsidR="00320311" w:rsidRPr="001F4999">
        <w:rPr>
          <w:rFonts w:ascii="Times New Roman" w:hAnsi="Times New Roman" w:cs="Times New Roman"/>
        </w:rPr>
        <w:t xml:space="preserve">ty to complete the test) to </w:t>
      </w:r>
      <w:r w:rsidRPr="001F4999">
        <w:rPr>
          <w:rFonts w:ascii="Times New Roman" w:hAnsi="Times New Roman" w:cs="Times New Roman"/>
        </w:rPr>
        <w:t>4</w:t>
      </w:r>
      <w:r w:rsidR="00320311" w:rsidRPr="001F4999">
        <w:rPr>
          <w:rFonts w:ascii="Times New Roman" w:hAnsi="Times New Roman" w:cs="Times New Roman"/>
        </w:rPr>
        <w:t xml:space="preserve"> (</w:t>
      </w:r>
      <w:r w:rsidRPr="001F4999">
        <w:rPr>
          <w:rFonts w:ascii="Times New Roman" w:hAnsi="Times New Roman" w:cs="Times New Roman"/>
        </w:rPr>
        <w:t xml:space="preserve">highest possible score) will be assigned to each of the three performance measures based on standard cut-points. A summary score ranging from 0 (lowest) to 12 (highest) will be calculated by adding walking speed, chair stands, and balance scores.  </w:t>
      </w:r>
    </w:p>
    <w:p w14:paraId="38199E6C" w14:textId="162CC30D" w:rsidR="00DA70B0" w:rsidRPr="001F4999" w:rsidRDefault="00320311" w:rsidP="002C38B5">
      <w:pPr>
        <w:spacing w:after="0" w:line="240" w:lineRule="auto"/>
        <w:ind w:firstLine="720"/>
        <w:rPr>
          <w:rFonts w:ascii="Times New Roman" w:hAnsi="Times New Roman" w:cs="Times New Roman"/>
        </w:rPr>
      </w:pPr>
      <w:r w:rsidRPr="001F4999">
        <w:rPr>
          <w:rFonts w:ascii="Times New Roman" w:hAnsi="Times New Roman" w:cs="Times New Roman"/>
        </w:rPr>
        <w:t>We will also use</w:t>
      </w:r>
      <w:r w:rsidR="00360216" w:rsidRPr="001F4999">
        <w:rPr>
          <w:rFonts w:ascii="Times New Roman" w:hAnsi="Times New Roman" w:cs="Times New Roman"/>
        </w:rPr>
        <w:t xml:space="preserve"> the 400-m walk test </w:t>
      </w:r>
      <w:r w:rsidR="00E409C9" w:rsidRPr="001F4999">
        <w:rPr>
          <w:rFonts w:ascii="Times New Roman" w:hAnsi="Times New Roman" w:cs="Times New Roman"/>
          <w:vertAlign w:val="superscript"/>
        </w:rPr>
        <w:t>51, 65</w:t>
      </w:r>
      <w:r w:rsidR="00364A85" w:rsidRPr="001F4999">
        <w:rPr>
          <w:rFonts w:ascii="Times New Roman" w:hAnsi="Times New Roman" w:cs="Times New Roman"/>
        </w:rPr>
        <w:t xml:space="preserve">. </w:t>
      </w:r>
      <w:r w:rsidR="006D7F49" w:rsidRPr="001F4999">
        <w:rPr>
          <w:rFonts w:ascii="Times New Roman" w:hAnsi="Times New Roman" w:cs="Times New Roman"/>
        </w:rPr>
        <w:t>This test</w:t>
      </w:r>
      <w:r w:rsidR="00DA70B0" w:rsidRPr="001F4999">
        <w:rPr>
          <w:rFonts w:ascii="Times New Roman" w:hAnsi="Times New Roman" w:cs="Times New Roman"/>
        </w:rPr>
        <w:t xml:space="preserve"> </w:t>
      </w:r>
      <w:r w:rsidR="00364A85" w:rsidRPr="001F4999">
        <w:rPr>
          <w:rFonts w:ascii="Times New Roman" w:hAnsi="Times New Roman" w:cs="Times New Roman"/>
        </w:rPr>
        <w:t xml:space="preserve">is </w:t>
      </w:r>
      <w:r w:rsidR="00DA70B0" w:rsidRPr="001F4999">
        <w:rPr>
          <w:rFonts w:ascii="Times New Roman" w:hAnsi="Times New Roman" w:cs="Times New Roman"/>
        </w:rPr>
        <w:t>a predictor of subsequ</w:t>
      </w:r>
      <w:r w:rsidR="00364A85" w:rsidRPr="001F4999">
        <w:rPr>
          <w:rFonts w:ascii="Times New Roman" w:hAnsi="Times New Roman" w:cs="Times New Roman"/>
        </w:rPr>
        <w:t xml:space="preserve">ent mortality in older adults. </w:t>
      </w:r>
      <w:r w:rsidR="00DA70B0" w:rsidRPr="001F4999">
        <w:rPr>
          <w:rFonts w:ascii="Times New Roman" w:hAnsi="Times New Roman" w:cs="Times New Roman"/>
        </w:rPr>
        <w:t>On a track (or measured corridor) each participant will be instructed to walk the track in a continuous loop as quickly as possible at a pace that can be mai</w:t>
      </w:r>
      <w:r w:rsidR="00364A85" w:rsidRPr="001F4999">
        <w:rPr>
          <w:rFonts w:ascii="Times New Roman" w:hAnsi="Times New Roman" w:cs="Times New Roman"/>
        </w:rPr>
        <w:t xml:space="preserve">ntained. </w:t>
      </w:r>
      <w:r w:rsidR="00DA70B0" w:rsidRPr="001F4999">
        <w:rPr>
          <w:rFonts w:ascii="Times New Roman" w:hAnsi="Times New Roman" w:cs="Times New Roman"/>
        </w:rPr>
        <w:t xml:space="preserve">Standardized oral encouragement will be given, as well as feedback regarding the number of laps remaining. </w:t>
      </w:r>
    </w:p>
    <w:p w14:paraId="292AECAA" w14:textId="77777777" w:rsidR="00814B30" w:rsidRPr="001F4999" w:rsidRDefault="00814B30" w:rsidP="002C38B5">
      <w:pPr>
        <w:spacing w:after="0" w:line="240" w:lineRule="auto"/>
        <w:rPr>
          <w:rFonts w:ascii="Times New Roman" w:hAnsi="Times New Roman" w:cs="Times New Roman"/>
        </w:rPr>
      </w:pPr>
    </w:p>
    <w:p w14:paraId="49A7A9A7" w14:textId="77777777" w:rsidR="00814B30" w:rsidRPr="001F4999" w:rsidRDefault="00814B30" w:rsidP="002C38B5">
      <w:pPr>
        <w:spacing w:after="0" w:line="240" w:lineRule="auto"/>
        <w:rPr>
          <w:rFonts w:ascii="Times New Roman" w:hAnsi="Times New Roman" w:cs="Times New Roman"/>
          <w:lang w:val="en"/>
        </w:rPr>
      </w:pPr>
    </w:p>
    <w:p w14:paraId="18480743" w14:textId="77777777" w:rsidR="002D640B" w:rsidRPr="001F4999" w:rsidRDefault="002D640B" w:rsidP="002C38B5">
      <w:pPr>
        <w:spacing w:after="0" w:line="240" w:lineRule="auto"/>
        <w:rPr>
          <w:rFonts w:ascii="Times New Roman" w:hAnsi="Times New Roman" w:cs="Times New Roman"/>
          <w:color w:val="FF0000"/>
        </w:rPr>
      </w:pPr>
      <w:r w:rsidRPr="001F4999">
        <w:rPr>
          <w:rFonts w:ascii="Times New Roman" w:hAnsi="Times New Roman" w:cs="Times New Roman"/>
          <w:b/>
          <w:bCs/>
        </w:rPr>
        <w:t>MEASUREMENT OF PROGRESS AND RESULTS</w:t>
      </w:r>
    </w:p>
    <w:p w14:paraId="4AE75812" w14:textId="77777777" w:rsidR="002D640B" w:rsidRPr="001F4999" w:rsidRDefault="002D640B" w:rsidP="002C38B5">
      <w:pPr>
        <w:spacing w:after="0" w:line="240" w:lineRule="auto"/>
        <w:rPr>
          <w:rFonts w:ascii="Times New Roman" w:hAnsi="Times New Roman" w:cs="Times New Roman"/>
        </w:rPr>
      </w:pPr>
      <w:r w:rsidRPr="001F4999">
        <w:rPr>
          <w:rFonts w:ascii="Times New Roman" w:hAnsi="Times New Roman" w:cs="Times New Roman"/>
        </w:rPr>
        <w:t> </w:t>
      </w:r>
    </w:p>
    <w:p w14:paraId="00CF3E4E" w14:textId="404EEAF5" w:rsidR="002D640B" w:rsidRPr="001F4999" w:rsidRDefault="00F66BE6" w:rsidP="002C38B5">
      <w:pPr>
        <w:spacing w:after="0" w:line="240" w:lineRule="auto"/>
        <w:rPr>
          <w:rFonts w:ascii="Times New Roman" w:hAnsi="Times New Roman" w:cs="Times New Roman"/>
          <w:color w:val="FF0000"/>
        </w:rPr>
      </w:pPr>
      <w:r w:rsidRPr="001F4999">
        <w:rPr>
          <w:rFonts w:ascii="Times New Roman" w:hAnsi="Times New Roman" w:cs="Times New Roman"/>
          <w:b/>
          <w:bCs/>
          <w:u w:val="single"/>
        </w:rPr>
        <w:t>Outputs</w:t>
      </w:r>
    </w:p>
    <w:p w14:paraId="15044A30" w14:textId="64186511" w:rsidR="00E60B39" w:rsidRPr="001F4999" w:rsidRDefault="00E60B39" w:rsidP="002C38B5">
      <w:pPr>
        <w:spacing w:after="0" w:line="240" w:lineRule="auto"/>
        <w:rPr>
          <w:rFonts w:ascii="Times New Roman" w:hAnsi="Times New Roman" w:cs="Times New Roman"/>
          <w:color w:val="FF0000"/>
        </w:rPr>
      </w:pPr>
    </w:p>
    <w:p w14:paraId="2995E10C" w14:textId="66D2BD8E" w:rsidR="008C4D96" w:rsidRPr="001F4999" w:rsidRDefault="00304EDD" w:rsidP="002C38B5">
      <w:pPr>
        <w:pStyle w:val="ListParagraph"/>
        <w:numPr>
          <w:ilvl w:val="0"/>
          <w:numId w:val="16"/>
        </w:numPr>
        <w:spacing w:after="0" w:line="240" w:lineRule="auto"/>
        <w:rPr>
          <w:rFonts w:ascii="Times New Roman" w:hAnsi="Times New Roman"/>
          <w:b/>
          <w:bCs/>
        </w:rPr>
      </w:pPr>
      <w:r w:rsidRPr="001F4999">
        <w:rPr>
          <w:rFonts w:ascii="Times New Roman" w:hAnsi="Times New Roman"/>
          <w:bCs/>
        </w:rPr>
        <w:t>Development of Manual of Operations that includes all common validated tools that will be used for multistate research efforts. This manual will help ensure common research protocols are followed by all states.</w:t>
      </w:r>
    </w:p>
    <w:p w14:paraId="1C29AE92" w14:textId="533E08D7" w:rsidR="00304EDD" w:rsidRPr="001F4999" w:rsidRDefault="00304EDD" w:rsidP="002C38B5">
      <w:pPr>
        <w:pStyle w:val="ListParagraph"/>
        <w:numPr>
          <w:ilvl w:val="0"/>
          <w:numId w:val="16"/>
        </w:numPr>
        <w:spacing w:after="0" w:line="240" w:lineRule="auto"/>
        <w:rPr>
          <w:rFonts w:ascii="Times New Roman" w:hAnsi="Times New Roman"/>
          <w:bCs/>
        </w:rPr>
      </w:pPr>
      <w:r w:rsidRPr="001F4999">
        <w:rPr>
          <w:rFonts w:ascii="Times New Roman" w:hAnsi="Times New Roman"/>
          <w:bCs/>
        </w:rPr>
        <w:t>A comprehensive database of needs assessment and intervention data will be developed to allow for mul</w:t>
      </w:r>
      <w:r w:rsidR="006B67E7" w:rsidRPr="001F4999">
        <w:rPr>
          <w:rFonts w:ascii="Times New Roman" w:hAnsi="Times New Roman"/>
          <w:bCs/>
        </w:rPr>
        <w:t>ti</w:t>
      </w:r>
      <w:r w:rsidRPr="001F4999">
        <w:rPr>
          <w:rFonts w:ascii="Times New Roman" w:hAnsi="Times New Roman"/>
          <w:bCs/>
        </w:rPr>
        <w:t>state cross-sectional data analysis and comprehensive asse</w:t>
      </w:r>
      <w:r w:rsidR="006B67E7" w:rsidRPr="001F4999">
        <w:rPr>
          <w:rFonts w:ascii="Times New Roman" w:hAnsi="Times New Roman"/>
          <w:bCs/>
        </w:rPr>
        <w:t xml:space="preserve">ssment of lifestyle inventions </w:t>
      </w:r>
      <w:r w:rsidRPr="001F4999">
        <w:rPr>
          <w:rFonts w:ascii="Times New Roman" w:hAnsi="Times New Roman"/>
          <w:bCs/>
        </w:rPr>
        <w:t xml:space="preserve">for community-residing aging adults. </w:t>
      </w:r>
    </w:p>
    <w:p w14:paraId="16971F5C" w14:textId="7A85F217" w:rsidR="009545AE" w:rsidRPr="001F4999" w:rsidRDefault="006B67E7" w:rsidP="002C38B5">
      <w:pPr>
        <w:pStyle w:val="ListParagraph"/>
        <w:numPr>
          <w:ilvl w:val="0"/>
          <w:numId w:val="16"/>
        </w:numPr>
        <w:spacing w:after="0" w:line="240" w:lineRule="auto"/>
        <w:rPr>
          <w:rFonts w:ascii="Times New Roman" w:hAnsi="Times New Roman"/>
          <w:bCs/>
        </w:rPr>
      </w:pPr>
      <w:r w:rsidRPr="001F4999">
        <w:rPr>
          <w:rFonts w:ascii="Times New Roman" w:hAnsi="Times New Roman"/>
        </w:rPr>
        <w:t>Results from these studies will be used to provide recommendations to appropriate agencies regarding implementation of methods to improve availability and accessibility of healthful foods and physical activity for older adults.</w:t>
      </w:r>
    </w:p>
    <w:p w14:paraId="7FA553B6" w14:textId="2F0EA923" w:rsidR="006B67E7" w:rsidRPr="001F4999" w:rsidRDefault="006B67E7" w:rsidP="002C38B5">
      <w:pPr>
        <w:pStyle w:val="ListParagraph"/>
        <w:numPr>
          <w:ilvl w:val="0"/>
          <w:numId w:val="16"/>
        </w:numPr>
        <w:spacing w:after="0" w:line="240" w:lineRule="auto"/>
        <w:rPr>
          <w:rFonts w:ascii="Times New Roman" w:hAnsi="Times New Roman"/>
          <w:bCs/>
        </w:rPr>
      </w:pPr>
      <w:r w:rsidRPr="001F4999">
        <w:rPr>
          <w:rFonts w:ascii="Times New Roman" w:hAnsi="Times New Roman"/>
        </w:rPr>
        <w:t>Continued statistical exploration of the associations among the following age-related health factors: dietary and physical activity behaviors, quality of life, socioeconomic status, race</w:t>
      </w:r>
      <w:r w:rsidR="004001E6" w:rsidRPr="001F4999">
        <w:rPr>
          <w:rFonts w:ascii="Times New Roman" w:hAnsi="Times New Roman"/>
        </w:rPr>
        <w:t>, etc</w:t>
      </w:r>
      <w:r w:rsidRPr="001F4999">
        <w:rPr>
          <w:rFonts w:ascii="Times New Roman" w:hAnsi="Times New Roman"/>
        </w:rPr>
        <w:t xml:space="preserve">. </w:t>
      </w:r>
    </w:p>
    <w:p w14:paraId="1913E5B2" w14:textId="77777777" w:rsidR="007221C8" w:rsidRPr="001F4999" w:rsidRDefault="007221C8" w:rsidP="002C38B5">
      <w:pPr>
        <w:pStyle w:val="ListParagraph"/>
        <w:numPr>
          <w:ilvl w:val="0"/>
          <w:numId w:val="16"/>
        </w:numPr>
        <w:spacing w:after="0" w:line="240" w:lineRule="auto"/>
        <w:rPr>
          <w:rFonts w:ascii="Times New Roman" w:hAnsi="Times New Roman"/>
        </w:rPr>
      </w:pPr>
      <w:r w:rsidRPr="001F4999">
        <w:rPr>
          <w:rFonts w:ascii="Times New Roman" w:hAnsi="Times New Roman"/>
        </w:rPr>
        <w:t xml:space="preserve">Molecular data of telomere length and markers of inflammation correlated with specific dietary and activity interventions. </w:t>
      </w:r>
    </w:p>
    <w:p w14:paraId="56390ECF" w14:textId="2CCC9DD5" w:rsidR="004001E6" w:rsidRPr="001F4999" w:rsidRDefault="002927B9" w:rsidP="002C38B5">
      <w:pPr>
        <w:pStyle w:val="ListParagraph"/>
        <w:numPr>
          <w:ilvl w:val="0"/>
          <w:numId w:val="16"/>
        </w:numPr>
        <w:spacing w:after="0" w:line="240" w:lineRule="auto"/>
        <w:rPr>
          <w:rFonts w:ascii="Times New Roman" w:hAnsi="Times New Roman"/>
        </w:rPr>
      </w:pPr>
      <w:r w:rsidRPr="001F4999">
        <w:rPr>
          <w:rFonts w:ascii="Times New Roman" w:hAnsi="Times New Roman"/>
        </w:rPr>
        <w:lastRenderedPageBreak/>
        <w:t>Using cross-sectional and longitudinal approaches, we will measure the association of dietary fat quality with changes of muscle function, mass and mitochondrial capacity.  Results will be used to design interventio</w:t>
      </w:r>
      <w:r w:rsidR="00320311" w:rsidRPr="001F4999">
        <w:rPr>
          <w:rFonts w:ascii="Times New Roman" w:hAnsi="Times New Roman"/>
        </w:rPr>
        <w:t xml:space="preserve">n studies to test dietary oils </w:t>
      </w:r>
      <w:r w:rsidRPr="001F4999">
        <w:rPr>
          <w:rFonts w:ascii="Times New Roman" w:hAnsi="Times New Roman"/>
        </w:rPr>
        <w:t>(doses and types) to attend the loss of muscle mass and function in older people.</w:t>
      </w:r>
    </w:p>
    <w:p w14:paraId="06511B7E" w14:textId="77777777" w:rsidR="006B67E7" w:rsidRPr="001F4999" w:rsidRDefault="006B67E7" w:rsidP="002C38B5">
      <w:pPr>
        <w:spacing w:after="0" w:line="240" w:lineRule="auto"/>
        <w:rPr>
          <w:rFonts w:ascii="Times New Roman" w:hAnsi="Times New Roman" w:cs="Times New Roman"/>
          <w:bCs/>
        </w:rPr>
      </w:pPr>
    </w:p>
    <w:p w14:paraId="4629577B" w14:textId="27360C8E" w:rsidR="002D640B" w:rsidRPr="001F4999" w:rsidRDefault="00F66BE6" w:rsidP="002C38B5">
      <w:pPr>
        <w:spacing w:after="0" w:line="240" w:lineRule="auto"/>
        <w:rPr>
          <w:rFonts w:ascii="Times New Roman" w:hAnsi="Times New Roman" w:cs="Times New Roman"/>
          <w:color w:val="FF0000"/>
        </w:rPr>
      </w:pPr>
      <w:r w:rsidRPr="001F4999">
        <w:rPr>
          <w:rFonts w:ascii="Times New Roman" w:hAnsi="Times New Roman" w:cs="Times New Roman"/>
          <w:b/>
          <w:bCs/>
          <w:u w:val="single"/>
        </w:rPr>
        <w:t>Outcomes or Projected Impacts</w:t>
      </w:r>
    </w:p>
    <w:p w14:paraId="3B0DE120" w14:textId="3FAFE3A7" w:rsidR="008C4D96" w:rsidRPr="001F4999" w:rsidRDefault="008C4D96" w:rsidP="002C38B5">
      <w:pPr>
        <w:spacing w:after="0" w:line="240" w:lineRule="auto"/>
        <w:rPr>
          <w:rFonts w:ascii="Times New Roman" w:hAnsi="Times New Roman" w:cs="Times New Roman"/>
          <w:b/>
          <w:bCs/>
        </w:rPr>
      </w:pPr>
    </w:p>
    <w:p w14:paraId="2D5D9CDA" w14:textId="3F98470F" w:rsidR="006B67E7" w:rsidRPr="001F4999" w:rsidRDefault="006B67E7" w:rsidP="002C38B5">
      <w:pPr>
        <w:pStyle w:val="ListParagraph"/>
        <w:numPr>
          <w:ilvl w:val="0"/>
          <w:numId w:val="17"/>
        </w:numPr>
        <w:spacing w:after="0" w:line="240" w:lineRule="auto"/>
        <w:rPr>
          <w:rFonts w:ascii="Times New Roman" w:hAnsi="Times New Roman"/>
          <w:b/>
          <w:bCs/>
        </w:rPr>
      </w:pPr>
      <w:r w:rsidRPr="001F4999">
        <w:rPr>
          <w:rFonts w:ascii="Times New Roman" w:hAnsi="Times New Roman"/>
          <w:bdr w:val="none" w:sz="0" w:space="0" w:color="auto" w:frame="1"/>
        </w:rPr>
        <w:t xml:space="preserve">Improved understanding of the nutrition and physical activity practices of community-residing adults ages 40 years and older influencing their chronic disease status. </w:t>
      </w:r>
    </w:p>
    <w:p w14:paraId="2AB10521" w14:textId="77777777" w:rsidR="001F4999" w:rsidRPr="001F4999" w:rsidRDefault="001F4999" w:rsidP="001F4999">
      <w:pPr>
        <w:pStyle w:val="ListParagraph"/>
        <w:numPr>
          <w:ilvl w:val="0"/>
          <w:numId w:val="17"/>
        </w:numPr>
        <w:spacing w:after="0" w:line="240" w:lineRule="auto"/>
        <w:rPr>
          <w:rFonts w:ascii="Times New Roman" w:hAnsi="Times New Roman"/>
          <w:b/>
          <w:bCs/>
        </w:rPr>
      </w:pPr>
      <w:r w:rsidRPr="001F4999">
        <w:rPr>
          <w:rFonts w:ascii="Times New Roman" w:hAnsi="Times New Roman"/>
          <w:bdr w:val="none" w:sz="0" w:space="0" w:color="auto" w:frame="1"/>
        </w:rPr>
        <w:t>Reduced chronic disease incidence and/or severity as indicated through self-report, validated survey outcomes related to the targeted chronic disease and/or blood values.</w:t>
      </w:r>
    </w:p>
    <w:p w14:paraId="617316F0" w14:textId="701B8031" w:rsidR="00113276" w:rsidRPr="001F4999" w:rsidRDefault="00113276" w:rsidP="002C38B5">
      <w:pPr>
        <w:pStyle w:val="ListParagraph"/>
        <w:numPr>
          <w:ilvl w:val="0"/>
          <w:numId w:val="17"/>
        </w:numPr>
        <w:spacing w:after="0" w:line="240" w:lineRule="auto"/>
        <w:rPr>
          <w:rFonts w:ascii="Times New Roman" w:hAnsi="Times New Roman"/>
          <w:b/>
          <w:bCs/>
        </w:rPr>
      </w:pPr>
      <w:r w:rsidRPr="001F4999">
        <w:rPr>
          <w:rFonts w:ascii="Times New Roman" w:hAnsi="Times New Roman"/>
          <w:bdr w:val="none" w:sz="0" w:space="0" w:color="auto" w:frame="1"/>
        </w:rPr>
        <w:t>Reduced nutritional risk and improved dietary intake frequencies as measured by the DST among those participating in nutrition-focused interventions</w:t>
      </w:r>
    </w:p>
    <w:p w14:paraId="6FF43036" w14:textId="205D6F52" w:rsidR="00113276" w:rsidRPr="001F4999" w:rsidRDefault="00113276" w:rsidP="002C38B5">
      <w:pPr>
        <w:pStyle w:val="ListParagraph"/>
        <w:numPr>
          <w:ilvl w:val="0"/>
          <w:numId w:val="17"/>
        </w:numPr>
        <w:spacing w:after="0" w:line="240" w:lineRule="auto"/>
        <w:rPr>
          <w:rFonts w:ascii="Times New Roman" w:hAnsi="Times New Roman"/>
          <w:b/>
          <w:bCs/>
        </w:rPr>
      </w:pPr>
      <w:r w:rsidRPr="001F4999">
        <w:rPr>
          <w:rFonts w:ascii="Times New Roman" w:hAnsi="Times New Roman"/>
          <w:bdr w:val="none" w:sz="0" w:space="0" w:color="auto" w:frame="1"/>
        </w:rPr>
        <w:t>Increased physical activity participation among aging adults and i</w:t>
      </w:r>
      <w:r w:rsidR="00644F6F" w:rsidRPr="001F4999">
        <w:rPr>
          <w:rFonts w:ascii="Times New Roman" w:hAnsi="Times New Roman"/>
          <w:bdr w:val="none" w:sz="0" w:space="0" w:color="auto" w:frame="1"/>
        </w:rPr>
        <w:t>ncreased</w:t>
      </w:r>
      <w:r w:rsidRPr="001F4999">
        <w:rPr>
          <w:rFonts w:ascii="Times New Roman" w:hAnsi="Times New Roman"/>
          <w:bdr w:val="none" w:sz="0" w:space="0" w:color="auto" w:frame="1"/>
        </w:rPr>
        <w:t xml:space="preserve"> physical function among those attending exercise, physical activity and/or sarcopenia interventions.</w:t>
      </w:r>
    </w:p>
    <w:p w14:paraId="1F0AFD96" w14:textId="38426B8D" w:rsidR="00113276" w:rsidRPr="001F4999" w:rsidRDefault="00644F6F" w:rsidP="00113276">
      <w:pPr>
        <w:pStyle w:val="ListParagraph"/>
        <w:numPr>
          <w:ilvl w:val="0"/>
          <w:numId w:val="17"/>
        </w:numPr>
        <w:spacing w:after="0" w:line="240" w:lineRule="auto"/>
        <w:rPr>
          <w:rFonts w:ascii="Times New Roman" w:hAnsi="Times New Roman"/>
          <w:b/>
          <w:bCs/>
        </w:rPr>
      </w:pPr>
      <w:r w:rsidRPr="001F4999">
        <w:rPr>
          <w:rFonts w:ascii="Times New Roman" w:hAnsi="Times New Roman"/>
          <w:bdr w:val="none" w:sz="0" w:space="0" w:color="auto" w:frame="1"/>
        </w:rPr>
        <w:t>Reduced</w:t>
      </w:r>
      <w:r w:rsidR="00113276" w:rsidRPr="001F4999">
        <w:rPr>
          <w:rFonts w:ascii="Times New Roman" w:hAnsi="Times New Roman"/>
          <w:bdr w:val="none" w:sz="0" w:space="0" w:color="auto" w:frame="1"/>
        </w:rPr>
        <w:t xml:space="preserve"> food insecurity among those with limited incomes</w:t>
      </w:r>
    </w:p>
    <w:p w14:paraId="1038F885" w14:textId="1D17560C" w:rsidR="00113276" w:rsidRPr="001F4999" w:rsidRDefault="00113276" w:rsidP="00113276">
      <w:pPr>
        <w:pStyle w:val="ListParagraph"/>
        <w:numPr>
          <w:ilvl w:val="0"/>
          <w:numId w:val="17"/>
        </w:numPr>
        <w:spacing w:after="0" w:line="240" w:lineRule="auto"/>
        <w:rPr>
          <w:rFonts w:ascii="Times New Roman" w:hAnsi="Times New Roman"/>
          <w:b/>
          <w:bCs/>
        </w:rPr>
      </w:pPr>
      <w:r w:rsidRPr="001F4999">
        <w:rPr>
          <w:rFonts w:ascii="Times New Roman" w:hAnsi="Times New Roman"/>
          <w:bdr w:val="none" w:sz="0" w:space="0" w:color="auto" w:frame="1"/>
        </w:rPr>
        <w:t>Enhanced healthspan as assessed by reduced chronic disease risk factors, i</w:t>
      </w:r>
      <w:r w:rsidR="00644F6F" w:rsidRPr="001F4999">
        <w:rPr>
          <w:rFonts w:ascii="Times New Roman" w:hAnsi="Times New Roman"/>
          <w:bdr w:val="none" w:sz="0" w:space="0" w:color="auto" w:frame="1"/>
        </w:rPr>
        <w:t>ncreased</w:t>
      </w:r>
      <w:r w:rsidRPr="001F4999">
        <w:rPr>
          <w:rFonts w:ascii="Times New Roman" w:hAnsi="Times New Roman"/>
          <w:bdr w:val="none" w:sz="0" w:space="0" w:color="auto" w:frame="1"/>
        </w:rPr>
        <w:t xml:space="preserve"> QOL, and/or physical function.</w:t>
      </w:r>
    </w:p>
    <w:p w14:paraId="59BD5808" w14:textId="72C7865E" w:rsidR="006B67E7" w:rsidRPr="001F4999" w:rsidRDefault="006B67E7" w:rsidP="002C38B5">
      <w:pPr>
        <w:pStyle w:val="ListParagraph"/>
        <w:numPr>
          <w:ilvl w:val="0"/>
          <w:numId w:val="17"/>
        </w:numPr>
        <w:spacing w:after="0" w:line="240" w:lineRule="auto"/>
        <w:rPr>
          <w:rFonts w:ascii="Times New Roman" w:hAnsi="Times New Roman"/>
          <w:b/>
          <w:bCs/>
        </w:rPr>
      </w:pPr>
      <w:r w:rsidRPr="001F4999">
        <w:rPr>
          <w:rFonts w:ascii="Times New Roman" w:hAnsi="Times New Roman"/>
          <w:bdr w:val="none" w:sz="0" w:space="0" w:color="auto" w:frame="1"/>
        </w:rPr>
        <w:t>Study participants will gain knowledge regarding recommended nutrition and physical acti</w:t>
      </w:r>
      <w:bookmarkStart w:id="0" w:name="_GoBack"/>
      <w:bookmarkEnd w:id="0"/>
      <w:r w:rsidRPr="001F4999">
        <w:rPr>
          <w:rFonts w:ascii="Times New Roman" w:hAnsi="Times New Roman"/>
          <w:bdr w:val="none" w:sz="0" w:space="0" w:color="auto" w:frame="1"/>
        </w:rPr>
        <w:t>vity behaviors.</w:t>
      </w:r>
    </w:p>
    <w:p w14:paraId="0BBACF68" w14:textId="178B4B07" w:rsidR="002927B9" w:rsidRPr="001F4999" w:rsidRDefault="002651A6" w:rsidP="002C38B5">
      <w:pPr>
        <w:pStyle w:val="ListParagraph"/>
        <w:numPr>
          <w:ilvl w:val="0"/>
          <w:numId w:val="17"/>
        </w:numPr>
        <w:spacing w:after="0" w:line="240" w:lineRule="auto"/>
        <w:rPr>
          <w:rFonts w:ascii="Times New Roman" w:hAnsi="Times New Roman"/>
        </w:rPr>
      </w:pPr>
      <w:r w:rsidRPr="001F4999">
        <w:rPr>
          <w:rFonts w:ascii="Times New Roman" w:hAnsi="Times New Roman"/>
        </w:rPr>
        <w:t>Optimized health</w:t>
      </w:r>
      <w:r w:rsidR="00113276" w:rsidRPr="001F4999">
        <w:rPr>
          <w:rFonts w:ascii="Times New Roman" w:hAnsi="Times New Roman"/>
        </w:rPr>
        <w:t>span</w:t>
      </w:r>
      <w:r w:rsidRPr="001F4999">
        <w:rPr>
          <w:rFonts w:ascii="Times New Roman" w:hAnsi="Times New Roman"/>
        </w:rPr>
        <w:t xml:space="preserve"> </w:t>
      </w:r>
      <w:r w:rsidR="00DC3995" w:rsidRPr="001F4999">
        <w:rPr>
          <w:rFonts w:ascii="Times New Roman" w:hAnsi="Times New Roman"/>
        </w:rPr>
        <w:t xml:space="preserve">through nutrition and physical activities </w:t>
      </w:r>
      <w:r w:rsidR="002A0383" w:rsidRPr="001F4999">
        <w:rPr>
          <w:rFonts w:ascii="Times New Roman" w:hAnsi="Times New Roman"/>
        </w:rPr>
        <w:t xml:space="preserve">that </w:t>
      </w:r>
      <w:r w:rsidR="00DC3995" w:rsidRPr="001F4999">
        <w:rPr>
          <w:rFonts w:ascii="Times New Roman" w:hAnsi="Times New Roman"/>
        </w:rPr>
        <w:t xml:space="preserve">are cost-effective and achievable for </w:t>
      </w:r>
      <w:r w:rsidR="002A0383" w:rsidRPr="001F4999">
        <w:rPr>
          <w:rFonts w:ascii="Times New Roman" w:hAnsi="Times New Roman"/>
        </w:rPr>
        <w:t xml:space="preserve">aging </w:t>
      </w:r>
      <w:r w:rsidR="00DC3995" w:rsidRPr="001F4999">
        <w:rPr>
          <w:rFonts w:ascii="Times New Roman" w:hAnsi="Times New Roman"/>
        </w:rPr>
        <w:t xml:space="preserve">or older adults.  </w:t>
      </w:r>
    </w:p>
    <w:p w14:paraId="766B065E" w14:textId="06B0D645" w:rsidR="002927B9" w:rsidRPr="001F4999" w:rsidRDefault="001F4999" w:rsidP="002C38B5">
      <w:pPr>
        <w:pStyle w:val="ListParagraph"/>
        <w:numPr>
          <w:ilvl w:val="0"/>
          <w:numId w:val="17"/>
        </w:numPr>
        <w:spacing w:after="0" w:line="240" w:lineRule="auto"/>
        <w:rPr>
          <w:rFonts w:ascii="Times New Roman" w:hAnsi="Times New Roman"/>
        </w:rPr>
      </w:pPr>
      <w:r w:rsidRPr="001F4999">
        <w:rPr>
          <w:rFonts w:ascii="Times New Roman" w:hAnsi="Times New Roman"/>
          <w:bdr w:val="none" w:sz="0" w:space="0" w:color="auto" w:frame="1"/>
        </w:rPr>
        <w:t xml:space="preserve">Study participants will </w:t>
      </w:r>
      <w:r w:rsidRPr="001F4999">
        <w:rPr>
          <w:rFonts w:ascii="Times New Roman" w:hAnsi="Times New Roman"/>
          <w:bdr w:val="none" w:sz="0" w:space="0" w:color="auto" w:frame="1"/>
        </w:rPr>
        <w:t>i</w:t>
      </w:r>
      <w:r w:rsidR="002927B9" w:rsidRPr="001F4999">
        <w:rPr>
          <w:rFonts w:ascii="Times New Roman" w:hAnsi="Times New Roman"/>
        </w:rPr>
        <w:t>mplement dietary and other lifestyle goals that will attenuate muscle loss.</w:t>
      </w:r>
    </w:p>
    <w:p w14:paraId="45E05292" w14:textId="0BC09635" w:rsidR="006B67E7" w:rsidRPr="001F4999" w:rsidRDefault="006B67E7" w:rsidP="002C38B5">
      <w:pPr>
        <w:pStyle w:val="ListParagraph"/>
        <w:spacing w:after="0" w:line="240" w:lineRule="auto"/>
        <w:rPr>
          <w:rFonts w:ascii="Times New Roman" w:hAnsi="Times New Roman"/>
          <w:b/>
          <w:bCs/>
        </w:rPr>
      </w:pPr>
    </w:p>
    <w:p w14:paraId="0AE2E296" w14:textId="2CE7D7FC" w:rsidR="002D640B" w:rsidRPr="001F4999" w:rsidRDefault="00F66BE6" w:rsidP="002C38B5">
      <w:pPr>
        <w:spacing w:after="0" w:line="240" w:lineRule="auto"/>
        <w:rPr>
          <w:rFonts w:ascii="Times New Roman" w:hAnsi="Times New Roman" w:cs="Times New Roman"/>
          <w:color w:val="FF0000"/>
        </w:rPr>
      </w:pPr>
      <w:r w:rsidRPr="001F4999">
        <w:rPr>
          <w:rFonts w:ascii="Times New Roman" w:hAnsi="Times New Roman" w:cs="Times New Roman"/>
          <w:b/>
          <w:bCs/>
          <w:u w:val="single"/>
        </w:rPr>
        <w:t>Milestones</w:t>
      </w:r>
    </w:p>
    <w:p w14:paraId="3CF740E8" w14:textId="3186F71A" w:rsidR="00073E38" w:rsidRPr="001F4999" w:rsidRDefault="00073E38" w:rsidP="002C38B5">
      <w:pPr>
        <w:spacing w:after="0" w:line="240" w:lineRule="auto"/>
        <w:rPr>
          <w:rFonts w:ascii="Times New Roman" w:hAnsi="Times New Roman" w:cs="Times New Roman"/>
        </w:rPr>
      </w:pPr>
    </w:p>
    <w:p w14:paraId="1B17DF4B" w14:textId="77777777" w:rsidR="00B67C25" w:rsidRPr="001F4999" w:rsidRDefault="00073E38" w:rsidP="002C38B5">
      <w:pPr>
        <w:pStyle w:val="ListParagraph"/>
        <w:numPr>
          <w:ilvl w:val="0"/>
          <w:numId w:val="19"/>
        </w:numPr>
        <w:spacing w:after="0" w:line="240" w:lineRule="auto"/>
        <w:rPr>
          <w:rFonts w:ascii="Times New Roman" w:hAnsi="Times New Roman"/>
          <w:i/>
        </w:rPr>
      </w:pPr>
      <w:r w:rsidRPr="001F4999">
        <w:rPr>
          <w:rFonts w:ascii="Times New Roman" w:hAnsi="Times New Roman"/>
          <w:b/>
        </w:rPr>
        <w:t>Year 1:</w:t>
      </w:r>
      <w:r w:rsidRPr="001F4999">
        <w:rPr>
          <w:rFonts w:ascii="Times New Roman" w:hAnsi="Times New Roman"/>
        </w:rPr>
        <w:t xml:space="preserve"> </w:t>
      </w:r>
    </w:p>
    <w:p w14:paraId="1CBBA04E" w14:textId="64B6E738" w:rsidR="00B67C25" w:rsidRPr="001F4999" w:rsidRDefault="004D0CBF"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D</w:t>
      </w:r>
      <w:r w:rsidR="00073E38" w:rsidRPr="001F4999">
        <w:rPr>
          <w:rFonts w:ascii="Times New Roman" w:hAnsi="Times New Roman"/>
        </w:rPr>
        <w:t>evelop operations manual</w:t>
      </w:r>
      <w:r w:rsidR="0072726A" w:rsidRPr="001F4999">
        <w:rPr>
          <w:rFonts w:ascii="Times New Roman" w:hAnsi="Times New Roman"/>
        </w:rPr>
        <w:t xml:space="preserve"> for common survey tools</w:t>
      </w:r>
      <w:r w:rsidRPr="001F4999">
        <w:rPr>
          <w:rFonts w:ascii="Times New Roman" w:hAnsi="Times New Roman"/>
        </w:rPr>
        <w:t>.</w:t>
      </w:r>
      <w:r w:rsidR="00B67C25" w:rsidRPr="001F4999">
        <w:rPr>
          <w:rFonts w:ascii="Times New Roman" w:hAnsi="Times New Roman"/>
        </w:rPr>
        <w:t xml:space="preserve"> </w:t>
      </w:r>
    </w:p>
    <w:p w14:paraId="7F55B3B3" w14:textId="33229D5A" w:rsidR="00B67C25" w:rsidRPr="001F4999" w:rsidRDefault="004D0CBF"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D</w:t>
      </w:r>
      <w:r w:rsidR="00073E38" w:rsidRPr="001F4999">
        <w:rPr>
          <w:rFonts w:ascii="Times New Roman" w:hAnsi="Times New Roman"/>
        </w:rPr>
        <w:t xml:space="preserve">evelop SPSS-base </w:t>
      </w:r>
      <w:r w:rsidR="00D9269E" w:rsidRPr="001F4999">
        <w:rPr>
          <w:rFonts w:ascii="Times New Roman" w:hAnsi="Times New Roman"/>
        </w:rPr>
        <w:t>codebooks</w:t>
      </w:r>
      <w:r w:rsidR="00073E38" w:rsidRPr="001F4999">
        <w:rPr>
          <w:rFonts w:ascii="Times New Roman" w:hAnsi="Times New Roman"/>
        </w:rPr>
        <w:t xml:space="preserve"> for each of the common research tools</w:t>
      </w:r>
      <w:r w:rsidRPr="001F4999">
        <w:rPr>
          <w:rFonts w:ascii="Times New Roman" w:hAnsi="Times New Roman"/>
        </w:rPr>
        <w:t>.</w:t>
      </w:r>
    </w:p>
    <w:p w14:paraId="0B6D5254" w14:textId="05F0F636" w:rsidR="00B67C25" w:rsidRPr="001F4999" w:rsidRDefault="004D0CBF"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P</w:t>
      </w:r>
      <w:r w:rsidR="00B67C25" w:rsidRPr="001F4999">
        <w:rPr>
          <w:rFonts w:ascii="Times New Roman" w:hAnsi="Times New Roman"/>
        </w:rPr>
        <w:t>repare manuscripts and grant submissions for studies.</w:t>
      </w:r>
    </w:p>
    <w:p w14:paraId="5E1C3701" w14:textId="77777777" w:rsidR="00B67C25" w:rsidRPr="001F4999" w:rsidRDefault="00B67C25" w:rsidP="00F25751">
      <w:pPr>
        <w:pStyle w:val="ListParagraph"/>
        <w:spacing w:after="0" w:line="240" w:lineRule="auto"/>
        <w:ind w:left="1440"/>
        <w:rPr>
          <w:rFonts w:ascii="Times New Roman" w:hAnsi="Times New Roman"/>
          <w:i/>
        </w:rPr>
      </w:pPr>
    </w:p>
    <w:p w14:paraId="764CE9A5" w14:textId="66D4203F" w:rsidR="00B67C25" w:rsidRPr="001F4999" w:rsidRDefault="00B67C25" w:rsidP="00B67C25">
      <w:pPr>
        <w:pStyle w:val="ListParagraph"/>
        <w:numPr>
          <w:ilvl w:val="0"/>
          <w:numId w:val="19"/>
        </w:numPr>
        <w:spacing w:after="0" w:line="240" w:lineRule="auto"/>
        <w:rPr>
          <w:rFonts w:ascii="Times New Roman" w:hAnsi="Times New Roman"/>
          <w:b/>
          <w:i/>
        </w:rPr>
      </w:pPr>
      <w:r w:rsidRPr="001F4999">
        <w:rPr>
          <w:rFonts w:ascii="Times New Roman" w:hAnsi="Times New Roman"/>
          <w:b/>
        </w:rPr>
        <w:t>Years 1-2:</w:t>
      </w:r>
    </w:p>
    <w:p w14:paraId="41D47A2F" w14:textId="0CE47DFA" w:rsidR="00B67C25" w:rsidRPr="001F4999" w:rsidRDefault="004D0CBF"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C</w:t>
      </w:r>
      <w:r w:rsidR="00073E38" w:rsidRPr="001F4999">
        <w:rPr>
          <w:rFonts w:ascii="Times New Roman" w:hAnsi="Times New Roman"/>
        </w:rPr>
        <w:t>reate lifeSPAN curriculum and prepare related grant applications</w:t>
      </w:r>
      <w:r w:rsidRPr="001F4999">
        <w:rPr>
          <w:rFonts w:ascii="Times New Roman" w:hAnsi="Times New Roman"/>
        </w:rPr>
        <w:t>.</w:t>
      </w:r>
      <w:r w:rsidR="00B67C25" w:rsidRPr="001F4999">
        <w:rPr>
          <w:rFonts w:ascii="Times New Roman" w:hAnsi="Times New Roman"/>
        </w:rPr>
        <w:t xml:space="preserve"> </w:t>
      </w:r>
    </w:p>
    <w:p w14:paraId="44007782" w14:textId="163BDEB9" w:rsidR="00073E38" w:rsidRPr="001F4999" w:rsidRDefault="004D0CBF"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O</w:t>
      </w:r>
      <w:r w:rsidR="002927B9" w:rsidRPr="001F4999">
        <w:rPr>
          <w:rFonts w:ascii="Times New Roman" w:hAnsi="Times New Roman"/>
        </w:rPr>
        <w:t>ptimize laboratory procedures for blood collection and preparation of peripheral blood lymphocytes at multiple sites</w:t>
      </w:r>
      <w:r w:rsidRPr="001F4999">
        <w:rPr>
          <w:rFonts w:ascii="Times New Roman" w:hAnsi="Times New Roman"/>
        </w:rPr>
        <w:t>.</w:t>
      </w:r>
    </w:p>
    <w:p w14:paraId="5D78941B" w14:textId="0798840F" w:rsidR="00B67C25" w:rsidRPr="001F4999" w:rsidRDefault="004D0CBF"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P</w:t>
      </w:r>
      <w:r w:rsidR="00B67C25" w:rsidRPr="001F4999">
        <w:rPr>
          <w:rFonts w:ascii="Times New Roman" w:hAnsi="Times New Roman"/>
        </w:rPr>
        <w:t>repare manuscripts and grant submissions for studies.</w:t>
      </w:r>
    </w:p>
    <w:p w14:paraId="17A3E3E6" w14:textId="77777777" w:rsidR="00F25751" w:rsidRPr="001F4999" w:rsidRDefault="00F25751" w:rsidP="00F25751">
      <w:pPr>
        <w:pStyle w:val="ListParagraph"/>
        <w:spacing w:after="0" w:line="240" w:lineRule="auto"/>
        <w:rPr>
          <w:rFonts w:ascii="Times New Roman" w:hAnsi="Times New Roman"/>
        </w:rPr>
      </w:pPr>
    </w:p>
    <w:p w14:paraId="0C225794" w14:textId="21FA3A86" w:rsidR="00B67C25" w:rsidRPr="001F4999" w:rsidRDefault="00073E38" w:rsidP="002C38B5">
      <w:pPr>
        <w:pStyle w:val="ListParagraph"/>
        <w:numPr>
          <w:ilvl w:val="0"/>
          <w:numId w:val="19"/>
        </w:numPr>
        <w:spacing w:after="0" w:line="240" w:lineRule="auto"/>
        <w:rPr>
          <w:rFonts w:ascii="Times New Roman" w:hAnsi="Times New Roman"/>
          <w:i/>
        </w:rPr>
      </w:pPr>
      <w:r w:rsidRPr="001F4999">
        <w:rPr>
          <w:rFonts w:ascii="Times New Roman" w:hAnsi="Times New Roman"/>
          <w:b/>
        </w:rPr>
        <w:t>Years 2-3:</w:t>
      </w:r>
      <w:r w:rsidRPr="001F4999">
        <w:rPr>
          <w:rFonts w:ascii="Times New Roman" w:hAnsi="Times New Roman"/>
        </w:rPr>
        <w:t xml:space="preserve"> </w:t>
      </w:r>
    </w:p>
    <w:p w14:paraId="77156BE5" w14:textId="12B9474A" w:rsidR="00B67C25"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P</w:t>
      </w:r>
      <w:r w:rsidR="00073E38" w:rsidRPr="001F4999">
        <w:rPr>
          <w:rFonts w:ascii="Times New Roman" w:hAnsi="Times New Roman"/>
        </w:rPr>
        <w:t>ilot-test lifeSPAN program</w:t>
      </w:r>
      <w:r w:rsidRPr="001F4999">
        <w:rPr>
          <w:rFonts w:ascii="Times New Roman" w:hAnsi="Times New Roman"/>
        </w:rPr>
        <w:t>.</w:t>
      </w:r>
      <w:r w:rsidR="00B67C25" w:rsidRPr="001F4999">
        <w:rPr>
          <w:rFonts w:ascii="Times New Roman" w:hAnsi="Times New Roman"/>
        </w:rPr>
        <w:t xml:space="preserve"> </w:t>
      </w:r>
    </w:p>
    <w:p w14:paraId="2C9E8FDA" w14:textId="7941E664" w:rsidR="00B67C25"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C</w:t>
      </w:r>
      <w:r w:rsidR="00073E38" w:rsidRPr="001F4999">
        <w:rPr>
          <w:rFonts w:ascii="Times New Roman" w:hAnsi="Times New Roman"/>
        </w:rPr>
        <w:t>ollect survey data from across states</w:t>
      </w:r>
      <w:r w:rsidRPr="001F4999">
        <w:rPr>
          <w:rFonts w:ascii="Times New Roman" w:hAnsi="Times New Roman"/>
        </w:rPr>
        <w:t>.</w:t>
      </w:r>
      <w:r w:rsidR="00B67C25" w:rsidRPr="001F4999">
        <w:rPr>
          <w:rFonts w:ascii="Times New Roman" w:hAnsi="Times New Roman"/>
        </w:rPr>
        <w:t xml:space="preserve"> </w:t>
      </w:r>
    </w:p>
    <w:p w14:paraId="72B7437A" w14:textId="36CF5FF5" w:rsidR="00B67C25"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E</w:t>
      </w:r>
      <w:r w:rsidR="007221C8" w:rsidRPr="001F4999">
        <w:rPr>
          <w:rFonts w:ascii="Times New Roman" w:hAnsi="Times New Roman"/>
        </w:rPr>
        <w:t>xamine telomere length and markers of inflammation for selected studies</w:t>
      </w:r>
      <w:r w:rsidRPr="001F4999">
        <w:rPr>
          <w:rFonts w:ascii="Times New Roman" w:hAnsi="Times New Roman"/>
        </w:rPr>
        <w:t>.</w:t>
      </w:r>
      <w:r w:rsidR="00B67C25" w:rsidRPr="001F4999">
        <w:rPr>
          <w:rFonts w:ascii="Times New Roman" w:hAnsi="Times New Roman"/>
        </w:rPr>
        <w:t xml:space="preserve"> </w:t>
      </w:r>
    </w:p>
    <w:p w14:paraId="16B618C0" w14:textId="75E78E02" w:rsidR="00073E38"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Q</w:t>
      </w:r>
      <w:r w:rsidR="002927B9" w:rsidRPr="001F4999">
        <w:rPr>
          <w:rFonts w:ascii="Times New Roman" w:hAnsi="Times New Roman"/>
        </w:rPr>
        <w:t>uantify association of dietary fat intake with mitochondrial capacity and muscle health</w:t>
      </w:r>
      <w:r w:rsidRPr="001F4999">
        <w:rPr>
          <w:rFonts w:ascii="Times New Roman" w:hAnsi="Times New Roman"/>
        </w:rPr>
        <w:t>.</w:t>
      </w:r>
    </w:p>
    <w:p w14:paraId="119631E8" w14:textId="5F33BD06" w:rsidR="00B67C25"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P</w:t>
      </w:r>
      <w:r w:rsidR="00B67C25" w:rsidRPr="001F4999">
        <w:rPr>
          <w:rFonts w:ascii="Times New Roman" w:hAnsi="Times New Roman"/>
        </w:rPr>
        <w:t>repare manuscripts and grant submissions for studies.</w:t>
      </w:r>
    </w:p>
    <w:p w14:paraId="3C8FDDB6" w14:textId="77777777" w:rsidR="00F25751" w:rsidRPr="001F4999" w:rsidRDefault="00F25751" w:rsidP="00F25751">
      <w:pPr>
        <w:pStyle w:val="ListParagraph"/>
        <w:spacing w:after="0" w:line="240" w:lineRule="auto"/>
        <w:rPr>
          <w:rFonts w:ascii="Times New Roman" w:hAnsi="Times New Roman"/>
          <w:i/>
        </w:rPr>
      </w:pPr>
    </w:p>
    <w:p w14:paraId="6908E10D" w14:textId="7CED7434" w:rsidR="00B67C25" w:rsidRPr="001F4999" w:rsidRDefault="00073E38" w:rsidP="002C38B5">
      <w:pPr>
        <w:pStyle w:val="ListParagraph"/>
        <w:numPr>
          <w:ilvl w:val="0"/>
          <w:numId w:val="19"/>
        </w:numPr>
        <w:spacing w:after="0" w:line="240" w:lineRule="auto"/>
        <w:rPr>
          <w:rFonts w:ascii="Times New Roman" w:hAnsi="Times New Roman"/>
          <w:i/>
        </w:rPr>
      </w:pPr>
      <w:r w:rsidRPr="001F4999">
        <w:rPr>
          <w:rFonts w:ascii="Times New Roman" w:hAnsi="Times New Roman"/>
          <w:b/>
        </w:rPr>
        <w:t>Years 4-5:</w:t>
      </w:r>
      <w:r w:rsidRPr="001F4999">
        <w:rPr>
          <w:rFonts w:ascii="Times New Roman" w:hAnsi="Times New Roman"/>
        </w:rPr>
        <w:t xml:space="preserve"> </w:t>
      </w:r>
    </w:p>
    <w:p w14:paraId="404A608B" w14:textId="6DC66740" w:rsidR="00B67C25"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C</w:t>
      </w:r>
      <w:r w:rsidR="00073E38" w:rsidRPr="001F4999">
        <w:rPr>
          <w:rFonts w:ascii="Times New Roman" w:hAnsi="Times New Roman"/>
        </w:rPr>
        <w:t>onduct cross-sectional data analysis using multistate dataset</w:t>
      </w:r>
      <w:r w:rsidRPr="001F4999">
        <w:rPr>
          <w:rFonts w:ascii="Times New Roman" w:hAnsi="Times New Roman"/>
        </w:rPr>
        <w:t>.</w:t>
      </w:r>
      <w:r w:rsidR="00B67C25" w:rsidRPr="001F4999">
        <w:rPr>
          <w:rFonts w:ascii="Times New Roman" w:hAnsi="Times New Roman"/>
        </w:rPr>
        <w:t xml:space="preserve"> </w:t>
      </w:r>
    </w:p>
    <w:p w14:paraId="5615420A" w14:textId="4D5D2A67" w:rsidR="00B67C25"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E</w:t>
      </w:r>
      <w:r w:rsidR="007221C8" w:rsidRPr="001F4999">
        <w:rPr>
          <w:rFonts w:ascii="Times New Roman" w:hAnsi="Times New Roman"/>
        </w:rPr>
        <w:t>xamine telomere length and markers of inflammation for selected studies</w:t>
      </w:r>
      <w:r w:rsidRPr="001F4999">
        <w:rPr>
          <w:rFonts w:ascii="Times New Roman" w:hAnsi="Times New Roman"/>
        </w:rPr>
        <w:t>.</w:t>
      </w:r>
      <w:r w:rsidR="00B67C25" w:rsidRPr="001F4999">
        <w:rPr>
          <w:rFonts w:ascii="Times New Roman" w:hAnsi="Times New Roman"/>
        </w:rPr>
        <w:t xml:space="preserve"> </w:t>
      </w:r>
    </w:p>
    <w:p w14:paraId="270217C3" w14:textId="274F74B5" w:rsidR="007221C8" w:rsidRPr="001F4999" w:rsidRDefault="00ED4F8A" w:rsidP="00B67C25">
      <w:pPr>
        <w:pStyle w:val="ListParagraph"/>
        <w:numPr>
          <w:ilvl w:val="1"/>
          <w:numId w:val="19"/>
        </w:numPr>
        <w:spacing w:after="0" w:line="240" w:lineRule="auto"/>
        <w:rPr>
          <w:rFonts w:ascii="Times New Roman" w:hAnsi="Times New Roman"/>
          <w:i/>
        </w:rPr>
      </w:pPr>
      <w:r w:rsidRPr="001F4999">
        <w:rPr>
          <w:rFonts w:ascii="Times New Roman" w:hAnsi="Times New Roman"/>
        </w:rPr>
        <w:t>P</w:t>
      </w:r>
      <w:r w:rsidR="002927B9" w:rsidRPr="001F4999">
        <w:rPr>
          <w:rFonts w:ascii="Times New Roman" w:hAnsi="Times New Roman"/>
        </w:rPr>
        <w:t>repare manuscripts and grant submissions for studies.</w:t>
      </w:r>
    </w:p>
    <w:p w14:paraId="6EF183FF" w14:textId="4F499053" w:rsidR="00073E38" w:rsidRPr="001F4999" w:rsidRDefault="00073E38" w:rsidP="002C38B5">
      <w:pPr>
        <w:spacing w:after="0" w:line="240" w:lineRule="auto"/>
        <w:rPr>
          <w:rFonts w:ascii="Times New Roman" w:hAnsi="Times New Roman" w:cs="Times New Roman"/>
        </w:rPr>
      </w:pPr>
    </w:p>
    <w:p w14:paraId="5CDB0D49" w14:textId="38B61A38" w:rsidR="002D640B" w:rsidRPr="001F4999" w:rsidRDefault="002D640B" w:rsidP="002C38B5">
      <w:pPr>
        <w:spacing w:after="0" w:line="240" w:lineRule="auto"/>
        <w:rPr>
          <w:rFonts w:ascii="Times New Roman" w:hAnsi="Times New Roman" w:cs="Times New Roman"/>
          <w:i/>
          <w:color w:val="FF0000"/>
        </w:rPr>
      </w:pPr>
      <w:r w:rsidRPr="001F4999">
        <w:rPr>
          <w:rFonts w:ascii="Times New Roman" w:hAnsi="Times New Roman" w:cs="Times New Roman"/>
          <w:b/>
          <w:bCs/>
        </w:rPr>
        <w:t>OUTREACH PLAN</w:t>
      </w:r>
    </w:p>
    <w:p w14:paraId="3F4B3918" w14:textId="3543A8AD" w:rsidR="006C5209" w:rsidRPr="001F4999" w:rsidRDefault="006C5209" w:rsidP="00BB2CE4">
      <w:pPr>
        <w:spacing w:after="0" w:line="240" w:lineRule="auto"/>
        <w:ind w:firstLine="720"/>
        <w:rPr>
          <w:rFonts w:ascii="Times New Roman" w:eastAsia="Times New Roman" w:hAnsi="Times New Roman" w:cs="Times New Roman"/>
        </w:rPr>
      </w:pPr>
      <w:r w:rsidRPr="001F4999">
        <w:rPr>
          <w:rFonts w:ascii="Times New Roman" w:eastAsia="Times New Roman" w:hAnsi="Times New Roman" w:cs="Times New Roman"/>
        </w:rPr>
        <w:lastRenderedPageBreak/>
        <w:t>We plan to disseminate the work accomplished through this multistate project at multiple levels.  We will create and distribute education materials and programs for community-level implementation</w:t>
      </w:r>
      <w:r w:rsidR="00225689" w:rsidRPr="001F4999">
        <w:rPr>
          <w:rFonts w:ascii="Times New Roman" w:eastAsia="Times New Roman" w:hAnsi="Times New Roman" w:cs="Times New Roman"/>
        </w:rPr>
        <w:t>,</w:t>
      </w:r>
      <w:r w:rsidRPr="001F4999">
        <w:rPr>
          <w:rFonts w:ascii="Times New Roman" w:eastAsia="Times New Roman" w:hAnsi="Times New Roman" w:cs="Times New Roman"/>
        </w:rPr>
        <w:t xml:space="preserve"> ideally through Extension</w:t>
      </w:r>
      <w:r w:rsidR="00225689" w:rsidRPr="001F4999">
        <w:rPr>
          <w:rFonts w:ascii="Times New Roman" w:eastAsia="Times New Roman" w:hAnsi="Times New Roman" w:cs="Times New Roman"/>
        </w:rPr>
        <w:t xml:space="preserve"> but may </w:t>
      </w:r>
      <w:r w:rsidR="00CA23F5" w:rsidRPr="001F4999">
        <w:rPr>
          <w:rFonts w:ascii="Times New Roman" w:eastAsia="Times New Roman" w:hAnsi="Times New Roman" w:cs="Times New Roman"/>
        </w:rPr>
        <w:t xml:space="preserve">also </w:t>
      </w:r>
      <w:r w:rsidR="00225689" w:rsidRPr="001F4999">
        <w:rPr>
          <w:rFonts w:ascii="Times New Roman" w:eastAsia="Times New Roman" w:hAnsi="Times New Roman" w:cs="Times New Roman"/>
        </w:rPr>
        <w:t>include Area Agencies on Aging</w:t>
      </w:r>
      <w:r w:rsidR="00CA23F5" w:rsidRPr="001F4999">
        <w:rPr>
          <w:rFonts w:ascii="Times New Roman" w:eastAsia="Times New Roman" w:hAnsi="Times New Roman" w:cs="Times New Roman"/>
        </w:rPr>
        <w:t xml:space="preserve"> and </w:t>
      </w:r>
      <w:r w:rsidR="00225689" w:rsidRPr="001F4999">
        <w:rPr>
          <w:rFonts w:ascii="Times New Roman" w:eastAsia="Times New Roman" w:hAnsi="Times New Roman" w:cs="Times New Roman"/>
        </w:rPr>
        <w:t>public health departments</w:t>
      </w:r>
      <w:r w:rsidRPr="001F4999">
        <w:rPr>
          <w:rFonts w:ascii="Times New Roman" w:eastAsia="Times New Roman" w:hAnsi="Times New Roman" w:cs="Times New Roman"/>
        </w:rPr>
        <w:t>. Joint publications related to our research findings will be prepared and submitted to peer-reviewed journals. We will continue to do oral and poster presentations at local, regional and national professional meetings such as Experimental Biology, American College of Sports Medicine, the American Society for Nutrition annual meeting, Food and Nutrition Conference and Expo, the Society of Nutrition Education and Behavior annual meeting</w:t>
      </w:r>
      <w:r w:rsidR="00CA23F5" w:rsidRPr="001F4999">
        <w:rPr>
          <w:rFonts w:ascii="Times New Roman" w:eastAsia="Times New Roman" w:hAnsi="Times New Roman" w:cs="Times New Roman"/>
        </w:rPr>
        <w:t>, and the annual National Health Outreach Conference (Extension)</w:t>
      </w:r>
      <w:r w:rsidRPr="001F4999">
        <w:rPr>
          <w:rFonts w:ascii="Times New Roman" w:eastAsia="Times New Roman" w:hAnsi="Times New Roman" w:cs="Times New Roman"/>
        </w:rPr>
        <w:t>.</w:t>
      </w:r>
      <w:r w:rsidR="00225689" w:rsidRPr="001F4999">
        <w:rPr>
          <w:rFonts w:ascii="Times New Roman" w:eastAsia="Times New Roman" w:hAnsi="Times New Roman" w:cs="Times New Roman"/>
        </w:rPr>
        <w:t xml:space="preserve"> </w:t>
      </w:r>
    </w:p>
    <w:p w14:paraId="53111B63" w14:textId="1BB9E3EA" w:rsidR="002D640B" w:rsidRPr="001F4999" w:rsidRDefault="002D640B" w:rsidP="002C38B5">
      <w:pPr>
        <w:spacing w:after="0" w:line="240" w:lineRule="auto"/>
        <w:rPr>
          <w:rFonts w:ascii="Times New Roman" w:hAnsi="Times New Roman" w:cs="Times New Roman"/>
        </w:rPr>
      </w:pPr>
    </w:p>
    <w:p w14:paraId="525493DC" w14:textId="77777777" w:rsidR="002D640B" w:rsidRPr="001F4999" w:rsidRDefault="002D640B" w:rsidP="002C38B5">
      <w:pPr>
        <w:spacing w:after="0" w:line="240" w:lineRule="auto"/>
        <w:rPr>
          <w:rFonts w:ascii="Times New Roman" w:hAnsi="Times New Roman" w:cs="Times New Roman"/>
        </w:rPr>
      </w:pPr>
      <w:r w:rsidRPr="001F4999">
        <w:rPr>
          <w:rFonts w:ascii="Times New Roman" w:hAnsi="Times New Roman" w:cs="Times New Roman"/>
          <w:b/>
          <w:bCs/>
        </w:rPr>
        <w:t>ORGANIZATION AND GOVERNANCE</w:t>
      </w:r>
    </w:p>
    <w:p w14:paraId="61252C1E" w14:textId="2034A26E" w:rsidR="00225689" w:rsidRPr="001F4999" w:rsidRDefault="00225689" w:rsidP="001F1270">
      <w:pPr>
        <w:spacing w:after="0" w:line="240" w:lineRule="auto"/>
        <w:ind w:firstLine="720"/>
        <w:rPr>
          <w:rFonts w:ascii="Times New Roman" w:eastAsia="Times New Roman" w:hAnsi="Times New Roman" w:cs="Times New Roman"/>
        </w:rPr>
      </w:pPr>
      <w:r w:rsidRPr="001F4999">
        <w:rPr>
          <w:rFonts w:ascii="Times New Roman" w:eastAsia="Times New Roman" w:hAnsi="Times New Roman" w:cs="Times New Roman"/>
        </w:rPr>
        <w:t>Currently an Executive Committee (chair, chair-elect, past-chair, secretary, and member-at-large) and a Regional Administrative Advisor has the administrative oversight and organization for the multistate group. All positions are elected to three-year terms by team members during the annual meeting. The term begins October 1 of each respective year.</w:t>
      </w:r>
      <w:r w:rsidR="00F6692B" w:rsidRPr="001F4999">
        <w:rPr>
          <w:rFonts w:ascii="Times New Roman" w:eastAsia="Times New Roman" w:hAnsi="Times New Roman" w:cs="Times New Roman"/>
        </w:rPr>
        <w:t xml:space="preserve"> </w:t>
      </w:r>
      <w:r w:rsidR="00C23510" w:rsidRPr="001F4999">
        <w:rPr>
          <w:rFonts w:ascii="Times New Roman" w:eastAsia="Times New Roman" w:hAnsi="Times New Roman" w:cs="Times New Roman"/>
        </w:rPr>
        <w:t xml:space="preserve">The Chair is responsible for setting the </w:t>
      </w:r>
      <w:r w:rsidR="00F6692B" w:rsidRPr="001F4999">
        <w:rPr>
          <w:rFonts w:ascii="Times New Roman" w:eastAsia="Times New Roman" w:hAnsi="Times New Roman" w:cs="Times New Roman"/>
        </w:rPr>
        <w:t>meetings, develop</w:t>
      </w:r>
      <w:r w:rsidR="00C23510" w:rsidRPr="001F4999">
        <w:rPr>
          <w:rFonts w:ascii="Times New Roman" w:eastAsia="Times New Roman" w:hAnsi="Times New Roman" w:cs="Times New Roman"/>
        </w:rPr>
        <w:t>ing</w:t>
      </w:r>
      <w:r w:rsidR="00F6692B" w:rsidRPr="001F4999">
        <w:rPr>
          <w:rFonts w:ascii="Times New Roman" w:eastAsia="Times New Roman" w:hAnsi="Times New Roman" w:cs="Times New Roman"/>
        </w:rPr>
        <w:t xml:space="preserve"> and post</w:t>
      </w:r>
      <w:r w:rsidR="00C23510" w:rsidRPr="001F4999">
        <w:rPr>
          <w:rFonts w:ascii="Times New Roman" w:eastAsia="Times New Roman" w:hAnsi="Times New Roman" w:cs="Times New Roman"/>
        </w:rPr>
        <w:t xml:space="preserve">ing agendas, and facilitating </w:t>
      </w:r>
      <w:r w:rsidR="00F6692B" w:rsidRPr="001F4999">
        <w:rPr>
          <w:rFonts w:ascii="Times New Roman" w:eastAsia="Times New Roman" w:hAnsi="Times New Roman" w:cs="Times New Roman"/>
        </w:rPr>
        <w:t>the meetings.</w:t>
      </w:r>
      <w:r w:rsidR="00C23510" w:rsidRPr="001F4999">
        <w:rPr>
          <w:rFonts w:ascii="Times New Roman" w:eastAsia="Times New Roman" w:hAnsi="Times New Roman" w:cs="Times New Roman"/>
        </w:rPr>
        <w:t xml:space="preserve"> The Chair also oversees the completion of the annual reports and project-related revisions.</w:t>
      </w:r>
      <w:r w:rsidR="00F6692B" w:rsidRPr="001F4999">
        <w:rPr>
          <w:rFonts w:ascii="Times New Roman" w:eastAsia="Times New Roman" w:hAnsi="Times New Roman" w:cs="Times New Roman"/>
        </w:rPr>
        <w:t xml:space="preserve"> The chair-elect completes the duties in the absence of the chair. The secretary maintains the minutes and sends to the Chair to post on the multistate website. </w:t>
      </w:r>
      <w:r w:rsidR="00C23510" w:rsidRPr="001F4999">
        <w:rPr>
          <w:rFonts w:ascii="Times New Roman" w:eastAsia="Times New Roman" w:hAnsi="Times New Roman" w:cs="Times New Roman"/>
        </w:rPr>
        <w:t xml:space="preserve">The member-at-large attends the executive committee meetings and performs other duties as assigned by the Chair. </w:t>
      </w:r>
      <w:r w:rsidR="00F6692B" w:rsidRPr="001F4999">
        <w:rPr>
          <w:rFonts w:ascii="Times New Roman" w:eastAsia="Times New Roman" w:hAnsi="Times New Roman" w:cs="Times New Roman"/>
        </w:rPr>
        <w:t>The multi-state members meet on a regular basis (every other month) via online meetings and annually face-to-fact at a date and place that is selected by the entire group.</w:t>
      </w:r>
    </w:p>
    <w:p w14:paraId="78253A72" w14:textId="18E607D8" w:rsidR="00F6692B" w:rsidRPr="001F4999" w:rsidRDefault="00C23510" w:rsidP="001F1270">
      <w:pPr>
        <w:spacing w:after="0" w:line="240" w:lineRule="auto"/>
        <w:ind w:firstLine="720"/>
        <w:rPr>
          <w:rFonts w:ascii="Times New Roman" w:eastAsia="Times New Roman" w:hAnsi="Times New Roman" w:cs="Times New Roman"/>
        </w:rPr>
      </w:pPr>
      <w:r w:rsidRPr="001F4999">
        <w:rPr>
          <w:rFonts w:ascii="Times New Roman" w:eastAsia="Times New Roman" w:hAnsi="Times New Roman" w:cs="Times New Roman"/>
        </w:rPr>
        <w:t xml:space="preserve">The </w:t>
      </w:r>
      <w:r w:rsidR="002C38B5" w:rsidRPr="001F4999">
        <w:rPr>
          <w:rFonts w:ascii="Times New Roman" w:eastAsia="Times New Roman" w:hAnsi="Times New Roman" w:cs="Times New Roman"/>
        </w:rPr>
        <w:t>NE</w:t>
      </w:r>
      <w:r w:rsidR="001F1270" w:rsidRPr="001F4999">
        <w:rPr>
          <w:rFonts w:ascii="Times New Roman" w:eastAsia="Times New Roman" w:hAnsi="Times New Roman" w:cs="Times New Roman"/>
        </w:rPr>
        <w:t>-</w:t>
      </w:r>
      <w:r w:rsidR="002C38B5" w:rsidRPr="001F4999">
        <w:rPr>
          <w:rFonts w:ascii="Times New Roman" w:eastAsia="Times New Roman" w:hAnsi="Times New Roman" w:cs="Times New Roman"/>
        </w:rPr>
        <w:t>1439</w:t>
      </w:r>
      <w:r w:rsidRPr="001F4999">
        <w:rPr>
          <w:rFonts w:ascii="Times New Roman" w:eastAsia="Times New Roman" w:hAnsi="Times New Roman" w:cs="Times New Roman"/>
        </w:rPr>
        <w:t xml:space="preserve"> Multistate group is in the process of developing and adopting a policy and procedures manual that will guide the functioning of the group. </w:t>
      </w:r>
      <w:r w:rsidR="00F6692B" w:rsidRPr="001F4999">
        <w:rPr>
          <w:rFonts w:ascii="Times New Roman" w:hAnsi="Times New Roman" w:cs="Times New Roman"/>
          <w:lang w:val="en"/>
        </w:rPr>
        <w:t xml:space="preserve">The maximum size of the multistate group </w:t>
      </w:r>
      <w:r w:rsidRPr="001F4999">
        <w:rPr>
          <w:rFonts w:ascii="Times New Roman" w:hAnsi="Times New Roman" w:cs="Times New Roman"/>
          <w:lang w:val="en"/>
        </w:rPr>
        <w:t xml:space="preserve">will be </w:t>
      </w:r>
      <w:r w:rsidR="00F6692B" w:rsidRPr="001F4999">
        <w:rPr>
          <w:rFonts w:ascii="Times New Roman" w:hAnsi="Times New Roman" w:cs="Times New Roman"/>
          <w:lang w:val="en"/>
        </w:rPr>
        <w:t xml:space="preserve">25 members. Members </w:t>
      </w:r>
      <w:r w:rsidRPr="001F4999">
        <w:rPr>
          <w:rFonts w:ascii="Times New Roman" w:hAnsi="Times New Roman" w:cs="Times New Roman"/>
          <w:lang w:val="en"/>
        </w:rPr>
        <w:t xml:space="preserve">will be </w:t>
      </w:r>
      <w:r w:rsidR="00F6692B" w:rsidRPr="001F4999">
        <w:rPr>
          <w:rFonts w:ascii="Times New Roman" w:hAnsi="Times New Roman" w:cs="Times New Roman"/>
          <w:lang w:val="en"/>
        </w:rPr>
        <w:t>expected to actively participate in, collaborate, and contribute to the multistate research and administrative activities. Members who choose not to actively participate will be asked to resign from the group. Active participation is defined as participating in at least 50% of online meetings and contributing to the collaborative research and administrative activities. Consideration for termination of group membership due to inactive status will be presented on agenda and discussed by full group membership followed by a vote by the full membership at the next group meeting (face-to-face or online). A protocol will be established for accepting new members. It is anticipated that new members will be voted upon by the current members and should have applicable expertise that strengthens the group research, at least one chapter of dissertation published, and able to obtain independent funding for participation. The best time to join the group will be during the renewal process. Candidates must submit CV and documentation of how their skills meet the group research needs to the Chair. The group will review and vote upon the respective candidates.</w:t>
      </w:r>
    </w:p>
    <w:p w14:paraId="73096716" w14:textId="625823D2" w:rsidR="00225689" w:rsidRPr="001F4999" w:rsidRDefault="00225689" w:rsidP="002C38B5">
      <w:pPr>
        <w:spacing w:after="0" w:line="240" w:lineRule="auto"/>
        <w:rPr>
          <w:rFonts w:ascii="Times New Roman" w:eastAsia="Times New Roman" w:hAnsi="Times New Roman" w:cs="Times New Roman"/>
        </w:rPr>
      </w:pPr>
    </w:p>
    <w:p w14:paraId="0E36AD17" w14:textId="5460A9A3" w:rsidR="00BC54C3" w:rsidRPr="001F4999" w:rsidRDefault="00BC54C3" w:rsidP="002C38B5">
      <w:pPr>
        <w:spacing w:after="0" w:line="240" w:lineRule="auto"/>
        <w:jc w:val="center"/>
        <w:rPr>
          <w:rFonts w:ascii="Times New Roman" w:hAnsi="Times New Roman" w:cs="Times New Roman"/>
          <w:b/>
        </w:rPr>
      </w:pPr>
      <w:r w:rsidRPr="001F4999">
        <w:rPr>
          <w:rFonts w:ascii="Times New Roman" w:hAnsi="Times New Roman" w:cs="Times New Roman"/>
          <w:b/>
        </w:rPr>
        <w:t>References</w:t>
      </w:r>
    </w:p>
    <w:p w14:paraId="1B58C6CF" w14:textId="3F79FEDD" w:rsidR="00BC54C3" w:rsidRPr="001F4999" w:rsidRDefault="00BC54C3" w:rsidP="002C38B5">
      <w:pPr>
        <w:spacing w:after="0" w:line="240" w:lineRule="auto"/>
        <w:jc w:val="center"/>
        <w:rPr>
          <w:rFonts w:ascii="Times New Roman" w:hAnsi="Times New Roman" w:cs="Times New Roman"/>
        </w:rPr>
      </w:pPr>
    </w:p>
    <w:p w14:paraId="6039C9F8" w14:textId="71B66E12"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Administration for Community Living, U.S. Department of Health and Human Services. </w:t>
      </w:r>
      <w:r w:rsidRPr="001F4999">
        <w:rPr>
          <w:rFonts w:ascii="Times New Roman" w:hAnsi="Times New Roman"/>
          <w:i/>
        </w:rPr>
        <w:t>2017 Profile of Older Americans.</w:t>
      </w:r>
      <w:r w:rsidRPr="001F4999">
        <w:rPr>
          <w:rFonts w:ascii="Times New Roman" w:hAnsi="Times New Roman"/>
        </w:rPr>
        <w:t xml:space="preserve"> </w:t>
      </w:r>
      <w:r w:rsidR="00A56FB7" w:rsidRPr="001F4999">
        <w:rPr>
          <w:rFonts w:ascii="Times New Roman" w:hAnsi="Times New Roman"/>
        </w:rPr>
        <w:t xml:space="preserve">Published April 2018. </w:t>
      </w:r>
      <w:r w:rsidRPr="001F4999">
        <w:rPr>
          <w:rFonts w:ascii="Times New Roman" w:hAnsi="Times New Roman"/>
        </w:rPr>
        <w:t xml:space="preserve">Retrieved from: </w:t>
      </w:r>
      <w:hyperlink r:id="rId10" w:history="1">
        <w:r w:rsidRPr="001F4999">
          <w:rPr>
            <w:rStyle w:val="Hyperlink"/>
            <w:rFonts w:ascii="Times New Roman" w:hAnsi="Times New Roman"/>
          </w:rPr>
          <w:t>https://www.acl.gov/sites/default/files/Aging%20and%20Disability%20in%20America/2017OlderAmericansProfile.pdf</w:t>
        </w:r>
      </w:hyperlink>
      <w:r w:rsidRPr="001F4999">
        <w:rPr>
          <w:rFonts w:ascii="Times New Roman" w:hAnsi="Times New Roman"/>
        </w:rPr>
        <w:t xml:space="preserve">. </w:t>
      </w:r>
    </w:p>
    <w:p w14:paraId="6941D605" w14:textId="36F03041" w:rsidR="003A447F" w:rsidRPr="001F4999" w:rsidRDefault="003A447F"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Administration for Community Living, U.S. Department of Health and Human Services. </w:t>
      </w:r>
      <w:r w:rsidRPr="001F4999">
        <w:rPr>
          <w:rFonts w:ascii="Times New Roman" w:hAnsi="Times New Roman"/>
          <w:i/>
        </w:rPr>
        <w:t>Performance Outcome Measurement Project (POMP).</w:t>
      </w:r>
      <w:r w:rsidRPr="001F4999">
        <w:rPr>
          <w:rFonts w:ascii="Times New Roman" w:hAnsi="Times New Roman"/>
        </w:rPr>
        <w:t xml:space="preserve"> </w:t>
      </w:r>
      <w:r w:rsidR="00A56FB7" w:rsidRPr="001F4999">
        <w:rPr>
          <w:rFonts w:ascii="Times New Roman" w:hAnsi="Times New Roman"/>
        </w:rPr>
        <w:t xml:space="preserve">Published December 2018. </w:t>
      </w:r>
      <w:r w:rsidRPr="001F4999">
        <w:rPr>
          <w:rFonts w:ascii="Times New Roman" w:hAnsi="Times New Roman"/>
        </w:rPr>
        <w:t xml:space="preserve">Retrieved from: </w:t>
      </w:r>
      <w:r w:rsidRPr="001F4999">
        <w:rPr>
          <w:rStyle w:val="Hyperlink"/>
          <w:rFonts w:ascii="Times New Roman" w:hAnsi="Times New Roman"/>
        </w:rPr>
        <w:t>https://acl.gov/programs/pomp</w:t>
      </w:r>
    </w:p>
    <w:p w14:paraId="24060E08" w14:textId="77777777" w:rsidR="004453BD" w:rsidRPr="001F4999" w:rsidRDefault="004453BD" w:rsidP="002C38B5">
      <w:pPr>
        <w:pStyle w:val="NoSpacing"/>
        <w:numPr>
          <w:ilvl w:val="0"/>
          <w:numId w:val="26"/>
        </w:numPr>
        <w:ind w:left="360"/>
        <w:rPr>
          <w:rFonts w:ascii="Times New Roman" w:hAnsi="Times New Roman" w:cs="Times New Roman"/>
        </w:rPr>
      </w:pPr>
      <w:r w:rsidRPr="001F4999">
        <w:rPr>
          <w:rFonts w:ascii="Times New Roman" w:eastAsia="Times New Roman,Arial" w:hAnsi="Times New Roman" w:cs="Times New Roman"/>
        </w:rPr>
        <w:t xml:space="preserve">An R. Association of home-delivered meals on daily energy and nutrient intakes: findings from the National Health and Nutrition Examination Surveys. </w:t>
      </w:r>
      <w:r w:rsidRPr="001F4999">
        <w:rPr>
          <w:rFonts w:ascii="Times New Roman" w:eastAsia="Times New Roman,Arial" w:hAnsi="Times New Roman" w:cs="Times New Roman"/>
          <w:i/>
          <w:iCs/>
        </w:rPr>
        <w:t>J Nutr Gerontol Geriatr.</w:t>
      </w:r>
      <w:r w:rsidRPr="001F4999">
        <w:rPr>
          <w:rFonts w:ascii="Times New Roman" w:eastAsia="Times New Roman,Arial" w:hAnsi="Times New Roman" w:cs="Times New Roman"/>
        </w:rPr>
        <w:t xml:space="preserve"> 2015;34(2):263-272. doi:10.1080/21551197.2015.1031604.</w:t>
      </w:r>
    </w:p>
    <w:p w14:paraId="175501B4" w14:textId="7777777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Baerenholdt M, Yan G, Hinton I, Rose K, Mattos M. Quality of life in rural and urban adults 65 years and older: Findings from the national health and nutrition examination survey. </w:t>
      </w:r>
      <w:r w:rsidRPr="001F4999">
        <w:rPr>
          <w:rFonts w:ascii="Times New Roman" w:hAnsi="Times New Roman"/>
          <w:i/>
          <w:iCs/>
        </w:rPr>
        <w:t>Journal of</w:t>
      </w:r>
      <w:r w:rsidRPr="001F4999">
        <w:rPr>
          <w:rFonts w:ascii="Times New Roman" w:hAnsi="Times New Roman"/>
        </w:rPr>
        <w:t xml:space="preserve"> </w:t>
      </w:r>
      <w:r w:rsidRPr="001F4999">
        <w:rPr>
          <w:rFonts w:ascii="Times New Roman" w:hAnsi="Times New Roman"/>
          <w:i/>
          <w:iCs/>
        </w:rPr>
        <w:t xml:space="preserve">Rural Health. </w:t>
      </w:r>
      <w:r w:rsidRPr="001F4999">
        <w:rPr>
          <w:rFonts w:ascii="Times New Roman" w:hAnsi="Times New Roman"/>
        </w:rPr>
        <w:t>2012; 28(4), 339-347.</w:t>
      </w:r>
    </w:p>
    <w:p w14:paraId="332F2418" w14:textId="77777777" w:rsidR="004453BD" w:rsidRPr="001F4999" w:rsidRDefault="004453BD" w:rsidP="002C38B5">
      <w:pPr>
        <w:pStyle w:val="ListParagraph"/>
        <w:numPr>
          <w:ilvl w:val="0"/>
          <w:numId w:val="26"/>
        </w:numPr>
        <w:shd w:val="clear" w:color="auto" w:fill="FFFFFF"/>
        <w:spacing w:after="0" w:line="240" w:lineRule="auto"/>
        <w:ind w:left="360"/>
        <w:rPr>
          <w:rFonts w:ascii="Times New Roman" w:eastAsia="Times New Roman,Arial" w:hAnsi="Times New Roman"/>
        </w:rPr>
      </w:pPr>
      <w:r w:rsidRPr="001F4999">
        <w:rPr>
          <w:rFonts w:ascii="Times New Roman" w:eastAsia="Times New Roman,Arial" w:hAnsi="Times New Roman"/>
        </w:rPr>
        <w:lastRenderedPageBreak/>
        <w:t xml:space="preserve">Bailey RL, Miller PE, Mitchell DC, et al. Dietary screening tool identifies nutritional risk in older adults. </w:t>
      </w:r>
      <w:r w:rsidRPr="001F4999">
        <w:rPr>
          <w:rFonts w:ascii="Times New Roman" w:eastAsia="Times New Roman,Arial" w:hAnsi="Times New Roman"/>
          <w:i/>
        </w:rPr>
        <w:t xml:space="preserve">Am J Clin Nutr. </w:t>
      </w:r>
      <w:r w:rsidRPr="001F4999">
        <w:rPr>
          <w:rFonts w:ascii="Times New Roman" w:eastAsia="Times New Roman,Arial" w:hAnsi="Times New Roman"/>
          <w:iCs/>
        </w:rPr>
        <w:t>2009;90(1)</w:t>
      </w:r>
      <w:r w:rsidRPr="001F4999">
        <w:rPr>
          <w:rFonts w:ascii="Times New Roman" w:eastAsia="Times New Roman,Arial" w:hAnsi="Times New Roman"/>
        </w:rPr>
        <w:t>177-183. doi:10.3945/ajcn.2008.27268.</w:t>
      </w:r>
    </w:p>
    <w:p w14:paraId="32886E0F" w14:textId="77777777" w:rsidR="004453BD" w:rsidRPr="001F4999" w:rsidRDefault="004453BD" w:rsidP="002C38B5">
      <w:pPr>
        <w:pStyle w:val="ListParagraph"/>
        <w:numPr>
          <w:ilvl w:val="0"/>
          <w:numId w:val="26"/>
        </w:numPr>
        <w:shd w:val="clear" w:color="auto" w:fill="FFFFFF"/>
        <w:spacing w:after="0" w:line="240" w:lineRule="auto"/>
        <w:ind w:left="360"/>
        <w:rPr>
          <w:rFonts w:ascii="Times New Roman" w:hAnsi="Times New Roman"/>
        </w:rPr>
      </w:pPr>
      <w:r w:rsidRPr="001F4999">
        <w:rPr>
          <w:rFonts w:ascii="Times New Roman" w:eastAsia="Times New Roman,Arial" w:hAnsi="Times New Roman"/>
        </w:rPr>
        <w:t xml:space="preserve">Bailey RL, Mitchell DC, Miller CK, et al. A dietary screening questionnaire identifies dietary patterns in older adults. </w:t>
      </w:r>
      <w:r w:rsidRPr="001F4999">
        <w:rPr>
          <w:rFonts w:ascii="Times New Roman" w:eastAsia="Times New Roman,Arial" w:hAnsi="Times New Roman"/>
          <w:i/>
          <w:iCs/>
        </w:rPr>
        <w:t xml:space="preserve">J Nutr. </w:t>
      </w:r>
      <w:r w:rsidRPr="001F4999">
        <w:rPr>
          <w:rFonts w:ascii="Times New Roman" w:eastAsia="Times New Roman,Arial" w:hAnsi="Times New Roman"/>
          <w:iCs/>
        </w:rPr>
        <w:t>2007;137(2):</w:t>
      </w:r>
      <w:r w:rsidRPr="001F4999">
        <w:rPr>
          <w:rFonts w:ascii="Times New Roman" w:eastAsia="Times New Roman,Arial" w:hAnsi="Times New Roman"/>
        </w:rPr>
        <w:t>421-426.</w:t>
      </w:r>
      <w:r w:rsidRPr="001F4999">
        <w:rPr>
          <w:rFonts w:ascii="Times New Roman" w:eastAsia="Times New Roman,Arial" w:hAnsi="Times New Roman"/>
          <w:u w:val="single"/>
        </w:rPr>
        <w:t xml:space="preserve"> </w:t>
      </w:r>
    </w:p>
    <w:p w14:paraId="221D83E8" w14:textId="2ABE18EC"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Berkowitz SA. </w:t>
      </w:r>
      <w:r w:rsidRPr="001F4999">
        <w:rPr>
          <w:rFonts w:ascii="Times New Roman" w:hAnsi="Times New Roman"/>
          <w:i/>
        </w:rPr>
        <w:t>Food Insecurity, Malnutrition, and the Health of Older Adults: Testimony for the United States Senate Special Committee on Aging.</w:t>
      </w:r>
      <w:r w:rsidRPr="001F4999">
        <w:rPr>
          <w:rFonts w:ascii="Times New Roman" w:hAnsi="Times New Roman"/>
        </w:rPr>
        <w:t xml:space="preserve"> </w:t>
      </w:r>
      <w:r w:rsidR="000D248D" w:rsidRPr="001F4999">
        <w:rPr>
          <w:rFonts w:ascii="Times New Roman" w:hAnsi="Times New Roman"/>
        </w:rPr>
        <w:t xml:space="preserve">Published July 2017. </w:t>
      </w:r>
      <w:r w:rsidRPr="001F4999">
        <w:rPr>
          <w:rFonts w:ascii="Times New Roman" w:hAnsi="Times New Roman"/>
        </w:rPr>
        <w:t xml:space="preserve">Retrieved from: </w:t>
      </w:r>
      <w:hyperlink r:id="rId11" w:history="1">
        <w:r w:rsidRPr="001F4999">
          <w:rPr>
            <w:rStyle w:val="Hyperlink"/>
            <w:rFonts w:ascii="Times New Roman" w:hAnsi="Times New Roman"/>
          </w:rPr>
          <w:t>https://www.aging.senate.gov/imo/media/doc/SCA_Berkowitz_7_12_17.pdf</w:t>
        </w:r>
      </w:hyperlink>
      <w:r w:rsidRPr="001F4999">
        <w:rPr>
          <w:rFonts w:ascii="Times New Roman" w:hAnsi="Times New Roman"/>
        </w:rPr>
        <w:t xml:space="preserve">. </w:t>
      </w:r>
    </w:p>
    <w:p w14:paraId="615A2216" w14:textId="1643BE13"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Berkowitz SA, Basu S, Meigs JB, Seligman HK. Food Insecurity and Health Care Expenditures in the United States, 2011-2013. </w:t>
      </w:r>
      <w:r w:rsidR="000D248D" w:rsidRPr="001F4999">
        <w:rPr>
          <w:rFonts w:ascii="Times New Roman" w:hAnsi="Times New Roman"/>
          <w:i/>
        </w:rPr>
        <w:t>Health Serv Res.</w:t>
      </w:r>
      <w:r w:rsidR="000D248D" w:rsidRPr="001F4999">
        <w:rPr>
          <w:rFonts w:ascii="Times New Roman" w:hAnsi="Times New Roman"/>
        </w:rPr>
        <w:t xml:space="preserve"> 2018;</w:t>
      </w:r>
      <w:r w:rsidRPr="001F4999">
        <w:rPr>
          <w:rFonts w:ascii="Times New Roman" w:hAnsi="Times New Roman"/>
        </w:rPr>
        <w:t>53(3</w:t>
      </w:r>
      <w:r w:rsidR="000D248D" w:rsidRPr="001F4999">
        <w:rPr>
          <w:rFonts w:ascii="Times New Roman" w:hAnsi="Times New Roman"/>
        </w:rPr>
        <w:t>):</w:t>
      </w:r>
      <w:r w:rsidRPr="001F4999">
        <w:rPr>
          <w:rFonts w:ascii="Times New Roman" w:hAnsi="Times New Roman"/>
        </w:rPr>
        <w:t>1600-1620. doi: 10.1111/1475-6773.12730.</w:t>
      </w:r>
    </w:p>
    <w:p w14:paraId="73682FB8" w14:textId="2A8F9A6D" w:rsidR="00BA2D88" w:rsidRPr="001F4999" w:rsidRDefault="00BA2D88" w:rsidP="002C38B5">
      <w:pPr>
        <w:pStyle w:val="ListParagraph"/>
        <w:numPr>
          <w:ilvl w:val="0"/>
          <w:numId w:val="26"/>
        </w:numPr>
        <w:spacing w:after="0" w:line="240" w:lineRule="auto"/>
        <w:ind w:left="360"/>
        <w:rPr>
          <w:rFonts w:ascii="Times New Roman" w:eastAsia="Times New Roman,Arial" w:hAnsi="Times New Roman"/>
          <w:color w:val="0000FF"/>
          <w:u w:val="single"/>
        </w:rPr>
      </w:pPr>
      <w:r w:rsidRPr="001F4999">
        <w:rPr>
          <w:rFonts w:ascii="Times New Roman" w:hAnsi="Times New Roman"/>
        </w:rPr>
        <w:t>Brown DJ, McMillan</w:t>
      </w:r>
      <w:r w:rsidR="00A56FB7" w:rsidRPr="001F4999">
        <w:rPr>
          <w:rFonts w:ascii="Times New Roman" w:hAnsi="Times New Roman"/>
        </w:rPr>
        <w:t xml:space="preserve"> DC</w:t>
      </w:r>
      <w:r w:rsidRPr="001F4999">
        <w:rPr>
          <w:rFonts w:ascii="Times New Roman" w:hAnsi="Times New Roman"/>
        </w:rPr>
        <w:t xml:space="preserve"> and </w:t>
      </w:r>
      <w:r w:rsidR="00A56FB7" w:rsidRPr="001F4999">
        <w:rPr>
          <w:rFonts w:ascii="Times New Roman" w:hAnsi="Times New Roman"/>
        </w:rPr>
        <w:t>Milroy R</w:t>
      </w:r>
      <w:r w:rsidRPr="001F4999">
        <w:rPr>
          <w:rFonts w:ascii="Times New Roman" w:hAnsi="Times New Roman"/>
        </w:rPr>
        <w:t xml:space="preserve">. "The correlation between fatigue, physical function, the systemic inflammatory response, and psychological distress in patients with advanced lung cancer." </w:t>
      </w:r>
      <w:r w:rsidRPr="001F4999">
        <w:rPr>
          <w:rFonts w:ascii="Times New Roman" w:hAnsi="Times New Roman"/>
          <w:i/>
        </w:rPr>
        <w:t>Cancer</w:t>
      </w:r>
      <w:r w:rsidR="00A56FB7" w:rsidRPr="001F4999">
        <w:rPr>
          <w:rFonts w:ascii="Times New Roman" w:hAnsi="Times New Roman"/>
        </w:rPr>
        <w:t>. 2005;</w:t>
      </w:r>
      <w:r w:rsidRPr="001F4999">
        <w:rPr>
          <w:rFonts w:ascii="Times New Roman" w:hAnsi="Times New Roman"/>
        </w:rPr>
        <w:t>103(2):377-382.</w:t>
      </w:r>
    </w:p>
    <w:p w14:paraId="59DA98C8" w14:textId="77777777" w:rsidR="004453BD" w:rsidRPr="001F4999" w:rsidRDefault="004453BD" w:rsidP="002C38B5">
      <w:pPr>
        <w:pStyle w:val="ListParagraph"/>
        <w:numPr>
          <w:ilvl w:val="0"/>
          <w:numId w:val="26"/>
        </w:numPr>
        <w:spacing w:after="0" w:line="240" w:lineRule="auto"/>
        <w:ind w:left="360"/>
        <w:rPr>
          <w:rStyle w:val="tx2"/>
          <w:rFonts w:ascii="Times New Roman" w:hAnsi="Times New Roman"/>
          <w:color w:val="000000"/>
        </w:rPr>
      </w:pPr>
      <w:r w:rsidRPr="001F4999">
        <w:rPr>
          <w:rStyle w:val="tx2"/>
          <w:rFonts w:ascii="Times New Roman" w:hAnsi="Times New Roman"/>
        </w:rPr>
        <w:t xml:space="preserve">Burton LA, Sumukadas D. Optimal management of sarcopenia. </w:t>
      </w:r>
      <w:r w:rsidRPr="001F4999">
        <w:rPr>
          <w:rStyle w:val="tx2"/>
          <w:rFonts w:ascii="Times New Roman" w:hAnsi="Times New Roman"/>
          <w:i/>
        </w:rPr>
        <w:t>Clinical Interventions in Aging</w:t>
      </w:r>
      <w:r w:rsidRPr="001F4999">
        <w:rPr>
          <w:rStyle w:val="tx2"/>
          <w:rFonts w:ascii="Times New Roman" w:hAnsi="Times New Roman"/>
        </w:rPr>
        <w:t xml:space="preserve">. 2010;5:217-228. </w:t>
      </w:r>
    </w:p>
    <w:p w14:paraId="322414FD" w14:textId="48946FAC"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Cawthon RM. Telomere measurement by quantitative PCR. </w:t>
      </w:r>
      <w:r w:rsidRPr="001F4999">
        <w:rPr>
          <w:rFonts w:ascii="Times New Roman" w:hAnsi="Times New Roman"/>
          <w:i/>
        </w:rPr>
        <w:t>Nucleic Acids Res.</w:t>
      </w:r>
      <w:r w:rsidRPr="001F4999">
        <w:rPr>
          <w:rFonts w:ascii="Times New Roman" w:hAnsi="Times New Roman"/>
        </w:rPr>
        <w:t xml:space="preserve"> 2002;30:e47.</w:t>
      </w:r>
    </w:p>
    <w:p w14:paraId="018CE491" w14:textId="4DE53DE5" w:rsidR="00BA2D88" w:rsidRPr="001F4999" w:rsidRDefault="00BA2D88" w:rsidP="002C38B5">
      <w:pPr>
        <w:pStyle w:val="ListParagraph"/>
        <w:numPr>
          <w:ilvl w:val="0"/>
          <w:numId w:val="26"/>
        </w:numPr>
        <w:spacing w:after="0" w:line="240" w:lineRule="auto"/>
        <w:ind w:left="360"/>
        <w:rPr>
          <w:rFonts w:ascii="Times New Roman" w:eastAsia="Times New Roman,Arial" w:hAnsi="Times New Roman"/>
          <w:color w:val="0000FF"/>
          <w:u w:val="single"/>
        </w:rPr>
      </w:pPr>
      <w:r w:rsidRPr="001F4999">
        <w:rPr>
          <w:rFonts w:ascii="Times New Roman" w:hAnsi="Times New Roman"/>
        </w:rPr>
        <w:t>Conley K, Jubrias SA, Esselman PE (2000). Oxidative capacity and ageing in human muscle</w:t>
      </w:r>
      <w:r w:rsidR="00A56FB7" w:rsidRPr="001F4999">
        <w:rPr>
          <w:rFonts w:ascii="Times New Roman" w:hAnsi="Times New Roman"/>
        </w:rPr>
        <w:t>.</w:t>
      </w:r>
      <w:r w:rsidRPr="001F4999">
        <w:rPr>
          <w:rFonts w:ascii="Times New Roman" w:hAnsi="Times New Roman"/>
        </w:rPr>
        <w:t xml:space="preserve"> </w:t>
      </w:r>
      <w:r w:rsidRPr="001F4999">
        <w:rPr>
          <w:rFonts w:ascii="Times New Roman" w:hAnsi="Times New Roman"/>
          <w:i/>
        </w:rPr>
        <w:t>J Physiol</w:t>
      </w:r>
      <w:r w:rsidR="00A56FB7" w:rsidRPr="001F4999">
        <w:rPr>
          <w:rFonts w:ascii="Times New Roman" w:hAnsi="Times New Roman"/>
        </w:rPr>
        <w:t>. 2002;</w:t>
      </w:r>
      <w:r w:rsidRPr="001F4999">
        <w:rPr>
          <w:rFonts w:ascii="Times New Roman" w:hAnsi="Times New Roman"/>
        </w:rPr>
        <w:t>526:201-210.</w:t>
      </w:r>
    </w:p>
    <w:p w14:paraId="2D45E9B4" w14:textId="3E4164CC"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deJong Gierveld J.</w:t>
      </w:r>
      <w:r w:rsidR="00A56FB7" w:rsidRPr="001F4999">
        <w:rPr>
          <w:rFonts w:ascii="Times New Roman" w:hAnsi="Times New Roman"/>
        </w:rPr>
        <w:t xml:space="preserve">, </w:t>
      </w:r>
      <w:r w:rsidRPr="001F4999">
        <w:rPr>
          <w:rFonts w:ascii="Times New Roman" w:hAnsi="Times New Roman"/>
        </w:rPr>
        <w:t>van Tilburg T. 6-Item Scale for Overall, Emotional, and Social Loneliness: Confirmatory Tests on Survey Data</w:t>
      </w:r>
      <w:r w:rsidR="00A56FB7" w:rsidRPr="001F4999">
        <w:rPr>
          <w:rFonts w:ascii="Times New Roman" w:hAnsi="Times New Roman"/>
        </w:rPr>
        <w:t>.</w:t>
      </w:r>
      <w:r w:rsidRPr="001F4999">
        <w:rPr>
          <w:rFonts w:ascii="Times New Roman" w:hAnsi="Times New Roman"/>
        </w:rPr>
        <w:t xml:space="preserve"> </w:t>
      </w:r>
      <w:r w:rsidRPr="001F4999">
        <w:rPr>
          <w:rFonts w:ascii="Times New Roman" w:hAnsi="Times New Roman"/>
          <w:i/>
        </w:rPr>
        <w:t>Research on Aging</w:t>
      </w:r>
      <w:r w:rsidR="00A56FB7" w:rsidRPr="001F4999">
        <w:rPr>
          <w:rFonts w:ascii="Times New Roman" w:hAnsi="Times New Roman"/>
          <w:i/>
        </w:rPr>
        <w:t>.</w:t>
      </w:r>
      <w:r w:rsidR="00A56FB7" w:rsidRPr="001F4999">
        <w:rPr>
          <w:rFonts w:ascii="Times New Roman" w:hAnsi="Times New Roman"/>
        </w:rPr>
        <w:t xml:space="preserve"> 2006;</w:t>
      </w:r>
      <w:r w:rsidRPr="001F4999">
        <w:rPr>
          <w:rFonts w:ascii="Times New Roman" w:hAnsi="Times New Roman"/>
        </w:rPr>
        <w:t>28(5)</w:t>
      </w:r>
      <w:r w:rsidR="00A56FB7" w:rsidRPr="001F4999">
        <w:rPr>
          <w:rFonts w:ascii="Times New Roman" w:hAnsi="Times New Roman"/>
        </w:rPr>
        <w:t>:</w:t>
      </w:r>
      <w:r w:rsidRPr="001F4999">
        <w:rPr>
          <w:rFonts w:ascii="Times New Roman" w:hAnsi="Times New Roman"/>
        </w:rPr>
        <w:t>582-598.</w:t>
      </w:r>
    </w:p>
    <w:p w14:paraId="6E237647" w14:textId="77777777" w:rsidR="004453BD" w:rsidRPr="001F4999" w:rsidRDefault="004453BD" w:rsidP="002C38B5">
      <w:pPr>
        <w:pStyle w:val="ListParagraph"/>
        <w:numPr>
          <w:ilvl w:val="0"/>
          <w:numId w:val="26"/>
        </w:numPr>
        <w:shd w:val="clear" w:color="auto" w:fill="FFFFFF"/>
        <w:spacing w:after="0" w:line="240" w:lineRule="auto"/>
        <w:ind w:left="360"/>
        <w:rPr>
          <w:rFonts w:ascii="Times New Roman" w:eastAsia="Times New Roman" w:hAnsi="Times New Roman"/>
        </w:rPr>
      </w:pPr>
      <w:r w:rsidRPr="001F4999">
        <w:rPr>
          <w:rFonts w:ascii="Times New Roman" w:eastAsia="Times New Roman" w:hAnsi="Times New Roman"/>
        </w:rPr>
        <w:t xml:space="preserve">Denison HJ, Cooper C, Sayer AA, Robinson SM. Prevention and optimal management of sarcopenia: a review of combined exercise and nutrition interventions to improve muscle outcomes in older people. </w:t>
      </w:r>
      <w:r w:rsidRPr="001F4999">
        <w:rPr>
          <w:rFonts w:ascii="Times New Roman" w:eastAsia="Times New Roman" w:hAnsi="Times New Roman"/>
          <w:i/>
        </w:rPr>
        <w:t>Clinical Interventions in Aging</w:t>
      </w:r>
      <w:r w:rsidRPr="001F4999">
        <w:rPr>
          <w:rFonts w:ascii="Times New Roman" w:eastAsia="Times New Roman" w:hAnsi="Times New Roman"/>
        </w:rPr>
        <w:t>. 2015;10: 859-869.</w:t>
      </w:r>
    </w:p>
    <w:p w14:paraId="617D8477" w14:textId="00A2B395" w:rsidR="004453BD" w:rsidRPr="001F4999" w:rsidRDefault="004453BD" w:rsidP="002C38B5">
      <w:pPr>
        <w:pStyle w:val="ListParagraph"/>
        <w:numPr>
          <w:ilvl w:val="0"/>
          <w:numId w:val="26"/>
        </w:numPr>
        <w:tabs>
          <w:tab w:val="left" w:pos="1440"/>
          <w:tab w:val="left" w:pos="1920"/>
          <w:tab w:val="left" w:pos="2400"/>
          <w:tab w:val="left" w:pos="2880"/>
          <w:tab w:val="left" w:pos="3480"/>
          <w:tab w:val="left" w:pos="7800"/>
        </w:tabs>
        <w:spacing w:after="0" w:line="240" w:lineRule="auto"/>
        <w:ind w:left="360"/>
        <w:rPr>
          <w:rFonts w:ascii="Times New Roman" w:hAnsi="Times New Roman"/>
          <w:bCs/>
        </w:rPr>
      </w:pPr>
      <w:r w:rsidRPr="001F4999">
        <w:rPr>
          <w:rFonts w:ascii="Times New Roman" w:hAnsi="Times New Roman"/>
          <w:bCs/>
        </w:rPr>
        <w:t xml:space="preserve">Diener E, Emmons RA, Larsen RJ, Griffin S. The Satisfaction with Life Scale.  </w:t>
      </w:r>
      <w:r w:rsidRPr="001F4999">
        <w:rPr>
          <w:rFonts w:ascii="Times New Roman" w:hAnsi="Times New Roman"/>
          <w:bCs/>
          <w:i/>
        </w:rPr>
        <w:t>Journal of Personality Assessment</w:t>
      </w:r>
      <w:r w:rsidR="00A56FB7" w:rsidRPr="001F4999">
        <w:rPr>
          <w:rFonts w:ascii="Times New Roman" w:hAnsi="Times New Roman"/>
          <w:bCs/>
        </w:rPr>
        <w:t>. 1985;</w:t>
      </w:r>
      <w:r w:rsidRPr="001F4999">
        <w:rPr>
          <w:rFonts w:ascii="Times New Roman" w:hAnsi="Times New Roman"/>
          <w:bCs/>
        </w:rPr>
        <w:t>49</w:t>
      </w:r>
      <w:r w:rsidR="00A56FB7" w:rsidRPr="001F4999">
        <w:rPr>
          <w:rFonts w:ascii="Times New Roman" w:hAnsi="Times New Roman"/>
          <w:bCs/>
        </w:rPr>
        <w:t>:</w:t>
      </w:r>
      <w:r w:rsidRPr="001F4999">
        <w:rPr>
          <w:rFonts w:ascii="Times New Roman" w:hAnsi="Times New Roman"/>
          <w:bCs/>
        </w:rPr>
        <w:t>71-75.</w:t>
      </w:r>
    </w:p>
    <w:p w14:paraId="274FC10B" w14:textId="7777777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Dipietro L, Caspersen CJ, Ostfeld AM, Nadel ER. A survey to assessing physical activity among older adults. </w:t>
      </w:r>
      <w:r w:rsidRPr="001F4999">
        <w:rPr>
          <w:rFonts w:ascii="Times New Roman" w:hAnsi="Times New Roman"/>
          <w:i/>
        </w:rPr>
        <w:t>Med Sci Sports Exerc.</w:t>
      </w:r>
      <w:r w:rsidRPr="001F4999">
        <w:rPr>
          <w:rFonts w:ascii="Times New Roman" w:hAnsi="Times New Roman"/>
        </w:rPr>
        <w:t xml:space="preserve"> 1993;25:628-642.</w:t>
      </w:r>
    </w:p>
    <w:p w14:paraId="39AD877B" w14:textId="26B8ADB4"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eastAsia="Times New Roman" w:hAnsi="Times New Roman"/>
          <w:color w:val="0D0D0D" w:themeColor="text1" w:themeTint="F2"/>
          <w:lang w:eastAsia="x-none"/>
        </w:rPr>
        <w:t>Drazba M, Morris A, Marra</w:t>
      </w:r>
      <w:r w:rsidR="00A56FB7" w:rsidRPr="001F4999">
        <w:rPr>
          <w:rFonts w:ascii="Times New Roman" w:eastAsia="Times New Roman" w:hAnsi="Times New Roman"/>
          <w:color w:val="0D0D0D" w:themeColor="text1" w:themeTint="F2"/>
          <w:lang w:eastAsia="x-none"/>
        </w:rPr>
        <w:t xml:space="preserve"> M</w:t>
      </w:r>
      <w:r w:rsidRPr="001F4999">
        <w:rPr>
          <w:rFonts w:ascii="Times New Roman" w:eastAsia="Times New Roman" w:hAnsi="Times New Roman"/>
          <w:color w:val="0D0D0D" w:themeColor="text1" w:themeTint="F2"/>
          <w:lang w:eastAsia="x-none"/>
        </w:rPr>
        <w:t xml:space="preserve">. Sarcopenia Assessment in a Middle-aged Appalachian Population. </w:t>
      </w:r>
      <w:r w:rsidRPr="001F4999">
        <w:rPr>
          <w:rFonts w:ascii="Times New Roman" w:hAnsi="Times New Roman"/>
          <w:i/>
          <w:color w:val="0D0D0D" w:themeColor="text1" w:themeTint="F2"/>
        </w:rPr>
        <w:t>The</w:t>
      </w:r>
      <w:r w:rsidRPr="001F4999">
        <w:rPr>
          <w:rFonts w:ascii="Times New Roman" w:hAnsi="Times New Roman"/>
          <w:color w:val="0D0D0D" w:themeColor="text1" w:themeTint="F2"/>
        </w:rPr>
        <w:t xml:space="preserve"> </w:t>
      </w:r>
      <w:r w:rsidRPr="001F4999">
        <w:rPr>
          <w:rFonts w:ascii="Times New Roman" w:hAnsi="Times New Roman"/>
          <w:i/>
          <w:color w:val="0D0D0D" w:themeColor="text1" w:themeTint="F2"/>
        </w:rPr>
        <w:t xml:space="preserve">Journal of Frailty and Aging </w:t>
      </w:r>
      <w:r w:rsidRPr="001F4999">
        <w:rPr>
          <w:rFonts w:ascii="Times New Roman" w:hAnsi="Times New Roman"/>
          <w:color w:val="0D0D0D" w:themeColor="text1" w:themeTint="F2"/>
        </w:rPr>
        <w:t xml:space="preserve"> 2018;7(S1):125.</w:t>
      </w:r>
    </w:p>
    <w:p w14:paraId="51335445" w14:textId="34FCC505" w:rsidR="004453BD" w:rsidRPr="001F4999" w:rsidRDefault="004453BD" w:rsidP="002C38B5">
      <w:pPr>
        <w:pStyle w:val="ListParagraph"/>
        <w:numPr>
          <w:ilvl w:val="0"/>
          <w:numId w:val="26"/>
        </w:numPr>
        <w:shd w:val="clear" w:color="auto" w:fill="FFFFFF"/>
        <w:spacing w:after="0" w:line="240" w:lineRule="auto"/>
        <w:ind w:left="360"/>
        <w:rPr>
          <w:rStyle w:val="Hyperlink"/>
          <w:rFonts w:ascii="Times New Roman" w:eastAsia="Times New Roman" w:hAnsi="Times New Roman"/>
        </w:rPr>
      </w:pPr>
      <w:r w:rsidRPr="001F4999">
        <w:rPr>
          <w:rFonts w:ascii="Times New Roman" w:hAnsi="Times New Roman"/>
        </w:rPr>
        <w:t xml:space="preserve">Ervin BR. Healthy eating index scores among adults, 60 years of age and over, by sociodemographic and health characteristics: United States, 1999-2002. </w:t>
      </w:r>
      <w:r w:rsidR="00A56FB7" w:rsidRPr="001F4999">
        <w:rPr>
          <w:rFonts w:ascii="Times New Roman" w:hAnsi="Times New Roman"/>
        </w:rPr>
        <w:t xml:space="preserve">Published May 2008. </w:t>
      </w:r>
      <w:r w:rsidR="006D2907" w:rsidRPr="001F4999">
        <w:rPr>
          <w:rFonts w:ascii="Times New Roman" w:hAnsi="Times New Roman"/>
        </w:rPr>
        <w:t>Retrieved</w:t>
      </w:r>
      <w:r w:rsidR="00A56FB7" w:rsidRPr="001F4999">
        <w:rPr>
          <w:rFonts w:ascii="Times New Roman" w:hAnsi="Times New Roman"/>
        </w:rPr>
        <w:t xml:space="preserve"> from:</w:t>
      </w:r>
      <w:r w:rsidRPr="001F4999">
        <w:rPr>
          <w:rFonts w:ascii="Times New Roman" w:hAnsi="Times New Roman"/>
        </w:rPr>
        <w:t xml:space="preserve"> </w:t>
      </w:r>
      <w:hyperlink r:id="rId12" w:history="1">
        <w:r w:rsidRPr="001F4999">
          <w:rPr>
            <w:rStyle w:val="Hyperlink"/>
            <w:rFonts w:ascii="Times New Roman" w:hAnsi="Times New Roman"/>
          </w:rPr>
          <w:t>http://www.cdc.gov/nchs/data/ad/ad395.pdf</w:t>
        </w:r>
      </w:hyperlink>
      <w:r w:rsidRPr="001F4999">
        <w:rPr>
          <w:rFonts w:ascii="Times New Roman" w:hAnsi="Times New Roman"/>
        </w:rPr>
        <w:t xml:space="preserve"> </w:t>
      </w:r>
    </w:p>
    <w:p w14:paraId="3934CC0F" w14:textId="72A9C102" w:rsidR="004453BD" w:rsidRPr="001F4999" w:rsidRDefault="004453BD" w:rsidP="002C38B5">
      <w:pPr>
        <w:pStyle w:val="ListParagraph"/>
        <w:numPr>
          <w:ilvl w:val="0"/>
          <w:numId w:val="26"/>
        </w:numPr>
        <w:spacing w:after="0" w:line="240" w:lineRule="auto"/>
        <w:ind w:left="360"/>
        <w:rPr>
          <w:rFonts w:ascii="Times New Roman" w:eastAsia="Times New Roman,Arial,Times New" w:hAnsi="Times New Roman"/>
        </w:rPr>
      </w:pPr>
      <w:r w:rsidRPr="001F4999">
        <w:rPr>
          <w:rFonts w:ascii="Times New Roman" w:eastAsia="Times New Roman,Arial,Times New" w:hAnsi="Times New Roman"/>
        </w:rPr>
        <w:t xml:space="preserve">Federal Interagency Forum on Aging-Related Statistics. Older Americans 2016: key indicators of well-being. Washington, DC: U.S. Government Printing Office. </w:t>
      </w:r>
      <w:r w:rsidRPr="001F4999">
        <w:rPr>
          <w:rFonts w:ascii="Times New Roman" w:eastAsia="Times New Roman" w:hAnsi="Times New Roman"/>
        </w:rPr>
        <w:t xml:space="preserve">Published </w:t>
      </w:r>
      <w:r w:rsidRPr="001F4999">
        <w:rPr>
          <w:rFonts w:ascii="Times New Roman" w:eastAsia="Times New Roman,Arial,Times New" w:hAnsi="Times New Roman"/>
        </w:rPr>
        <w:t xml:space="preserve">August 2016. </w:t>
      </w:r>
      <w:r w:rsidR="008A2E70" w:rsidRPr="001F4999">
        <w:rPr>
          <w:rFonts w:ascii="Times New Roman" w:eastAsia="Times New Roman,Calibri" w:hAnsi="Times New Roman"/>
        </w:rPr>
        <w:t xml:space="preserve">Retrieved from: </w:t>
      </w:r>
      <w:hyperlink r:id="rId13" w:history="1">
        <w:r w:rsidR="008A2E70" w:rsidRPr="001F4999">
          <w:rPr>
            <w:rStyle w:val="Hyperlink"/>
            <w:rFonts w:ascii="Times New Roman" w:hAnsi="Times New Roman"/>
          </w:rPr>
          <w:t>https://agingstats.gov/docs/LatestReport/Older-Americans-2016-Key-Indicators-of-WellBeing.pdf</w:t>
        </w:r>
      </w:hyperlink>
      <w:r w:rsidR="008A2E70" w:rsidRPr="001F4999">
        <w:rPr>
          <w:rFonts w:ascii="Times New Roman" w:eastAsia="Times New Roman" w:hAnsi="Times New Roman"/>
        </w:rPr>
        <w:t>.</w:t>
      </w:r>
      <w:r w:rsidRPr="001F4999">
        <w:rPr>
          <w:rFonts w:ascii="Times New Roman" w:eastAsia="Times New Roman,Calibri" w:hAnsi="Times New Roman"/>
        </w:rPr>
        <w:t xml:space="preserve"> </w:t>
      </w:r>
    </w:p>
    <w:p w14:paraId="398531FE" w14:textId="37B8F579" w:rsidR="004453BD" w:rsidRPr="001F4999" w:rsidRDefault="004453BD" w:rsidP="00A56FB7">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Freundlich N. Long-term care: What are the issues? </w:t>
      </w:r>
      <w:r w:rsidR="008A2E70" w:rsidRPr="001F4999">
        <w:rPr>
          <w:rFonts w:ascii="Times New Roman" w:hAnsi="Times New Roman"/>
        </w:rPr>
        <w:t xml:space="preserve">Published February 2014. Retrieved from: </w:t>
      </w:r>
      <w:r w:rsidR="000D248D" w:rsidRPr="001F4999">
        <w:rPr>
          <w:rStyle w:val="Hyperlink"/>
          <w:rFonts w:ascii="Times New Roman" w:hAnsi="Times New Roman"/>
        </w:rPr>
        <w:t>https://www.rwjf.org/en/library/research/2014/02/long-term-care--what-are-the-issues-.html</w:t>
      </w:r>
      <w:r w:rsidRPr="001F4999">
        <w:rPr>
          <w:rFonts w:ascii="Times New Roman" w:hAnsi="Times New Roman"/>
        </w:rPr>
        <w:t xml:space="preserve">  </w:t>
      </w:r>
    </w:p>
    <w:p w14:paraId="45DBAF3F" w14:textId="4427E068" w:rsidR="004453BD" w:rsidRPr="001F4999" w:rsidRDefault="004453BD" w:rsidP="002C38B5">
      <w:pPr>
        <w:pStyle w:val="ListParagraph"/>
        <w:numPr>
          <w:ilvl w:val="0"/>
          <w:numId w:val="26"/>
        </w:numPr>
        <w:shd w:val="clear" w:color="auto" w:fill="FFFFFF"/>
        <w:spacing w:after="0" w:line="240" w:lineRule="auto"/>
        <w:ind w:left="360"/>
        <w:rPr>
          <w:rFonts w:ascii="Times New Roman" w:eastAsia="Times New Roman" w:hAnsi="Times New Roman"/>
        </w:rPr>
      </w:pPr>
      <w:r w:rsidRPr="001F4999">
        <w:rPr>
          <w:rFonts w:ascii="Times New Roman" w:hAnsi="Times New Roman"/>
        </w:rPr>
        <w:t xml:space="preserve">Furman EF. </w:t>
      </w:r>
      <w:r w:rsidRPr="001F4999">
        <w:rPr>
          <w:rStyle w:val="highlight"/>
          <w:rFonts w:ascii="Times New Roman" w:hAnsi="Times New Roman"/>
        </w:rPr>
        <w:t>Undernutrition</w:t>
      </w:r>
      <w:r w:rsidRPr="001F4999">
        <w:rPr>
          <w:rFonts w:ascii="Times New Roman" w:hAnsi="Times New Roman"/>
        </w:rPr>
        <w:t xml:space="preserve"> in older adults </w:t>
      </w:r>
      <w:r w:rsidRPr="001F4999">
        <w:rPr>
          <w:rStyle w:val="highlight"/>
          <w:rFonts w:ascii="Times New Roman" w:hAnsi="Times New Roman"/>
        </w:rPr>
        <w:t>across</w:t>
      </w:r>
      <w:r w:rsidRPr="001F4999">
        <w:rPr>
          <w:rFonts w:ascii="Times New Roman" w:hAnsi="Times New Roman"/>
        </w:rPr>
        <w:t xml:space="preserve"> the </w:t>
      </w:r>
      <w:r w:rsidRPr="001F4999">
        <w:rPr>
          <w:rStyle w:val="highlight"/>
          <w:rFonts w:ascii="Times New Roman" w:hAnsi="Times New Roman"/>
        </w:rPr>
        <w:t>continuum of care</w:t>
      </w:r>
      <w:r w:rsidRPr="001F4999">
        <w:rPr>
          <w:rFonts w:ascii="Times New Roman" w:hAnsi="Times New Roman"/>
        </w:rPr>
        <w:t xml:space="preserve">: nutritional assessment, barriers, and interventions. </w:t>
      </w:r>
      <w:r w:rsidRPr="001F4999">
        <w:rPr>
          <w:rFonts w:ascii="Times New Roman" w:hAnsi="Times New Roman"/>
          <w:i/>
        </w:rPr>
        <w:t>Journal of Gerontological Nursing</w:t>
      </w:r>
      <w:r w:rsidR="00A56FB7" w:rsidRPr="001F4999">
        <w:rPr>
          <w:rFonts w:ascii="Times New Roman" w:hAnsi="Times New Roman"/>
        </w:rPr>
        <w:t>. 2006;</w:t>
      </w:r>
      <w:r w:rsidRPr="001F4999">
        <w:rPr>
          <w:rFonts w:ascii="Times New Roman" w:hAnsi="Times New Roman"/>
          <w:i/>
        </w:rPr>
        <w:t>32(1</w:t>
      </w:r>
      <w:r w:rsidR="00A56FB7" w:rsidRPr="001F4999">
        <w:rPr>
          <w:rFonts w:ascii="Times New Roman" w:hAnsi="Times New Roman"/>
          <w:i/>
        </w:rPr>
        <w:t>):</w:t>
      </w:r>
      <w:r w:rsidRPr="001F4999">
        <w:rPr>
          <w:rFonts w:ascii="Times New Roman" w:hAnsi="Times New Roman"/>
        </w:rPr>
        <w:t xml:space="preserve">22-27. </w:t>
      </w:r>
    </w:p>
    <w:p w14:paraId="5A494D1F" w14:textId="77777777" w:rsidR="004453BD" w:rsidRPr="001F4999" w:rsidRDefault="004453BD" w:rsidP="002C38B5">
      <w:pPr>
        <w:pStyle w:val="ListParagraph"/>
        <w:numPr>
          <w:ilvl w:val="0"/>
          <w:numId w:val="26"/>
        </w:numPr>
        <w:shd w:val="clear" w:color="auto" w:fill="FFFFFF"/>
        <w:spacing w:after="0" w:line="240" w:lineRule="auto"/>
        <w:ind w:left="360"/>
        <w:rPr>
          <w:rFonts w:ascii="Times New Roman" w:eastAsia="Times New Roman" w:hAnsi="Times New Roman"/>
        </w:rPr>
      </w:pPr>
      <w:r w:rsidRPr="001F4999">
        <w:rPr>
          <w:rFonts w:ascii="Times New Roman" w:eastAsia="Times New Roman" w:hAnsi="Times New Roman"/>
        </w:rPr>
        <w:t xml:space="preserve">Goisser S, Kemmler W, Porzel S, Volkert D, Sieber CC, Bollheimer Lc, Freiberger E. Sarcopenic obesity and complex interventions with nutrition and exercise in community-dwelling older persons—a narrative review. </w:t>
      </w:r>
      <w:r w:rsidRPr="001F4999">
        <w:rPr>
          <w:rFonts w:ascii="Times New Roman" w:eastAsia="Times New Roman" w:hAnsi="Times New Roman"/>
          <w:i/>
        </w:rPr>
        <w:t>Clinical Interventions in Aging</w:t>
      </w:r>
      <w:r w:rsidRPr="001F4999">
        <w:rPr>
          <w:rFonts w:ascii="Times New Roman" w:eastAsia="Times New Roman" w:hAnsi="Times New Roman"/>
        </w:rPr>
        <w:t>. 2015;10:1267-1282.</w:t>
      </w:r>
    </w:p>
    <w:p w14:paraId="492091E0" w14:textId="066BB829" w:rsidR="004453BD" w:rsidRPr="001F4999" w:rsidRDefault="004453BD" w:rsidP="00A56FB7">
      <w:pPr>
        <w:pStyle w:val="ListParagraph"/>
        <w:numPr>
          <w:ilvl w:val="0"/>
          <w:numId w:val="26"/>
        </w:numPr>
        <w:spacing w:after="0" w:line="240" w:lineRule="auto"/>
        <w:ind w:left="360"/>
        <w:rPr>
          <w:rFonts w:ascii="Times New Roman" w:hAnsi="Times New Roman"/>
        </w:rPr>
      </w:pPr>
      <w:r w:rsidRPr="001F4999">
        <w:rPr>
          <w:rFonts w:ascii="Times New Roman" w:hAnsi="Times New Roman"/>
        </w:rPr>
        <w:t>Gregory CA</w:t>
      </w:r>
      <w:r w:rsidR="00A56FB7" w:rsidRPr="001F4999">
        <w:rPr>
          <w:rFonts w:ascii="Times New Roman" w:hAnsi="Times New Roman"/>
        </w:rPr>
        <w:t xml:space="preserve"> </w:t>
      </w:r>
      <w:r w:rsidRPr="001F4999">
        <w:rPr>
          <w:rFonts w:ascii="Times New Roman" w:hAnsi="Times New Roman"/>
        </w:rPr>
        <w:t xml:space="preserve">Coleman-Jensen A. </w:t>
      </w:r>
      <w:r w:rsidRPr="001F4999">
        <w:rPr>
          <w:rFonts w:ascii="Times New Roman" w:hAnsi="Times New Roman"/>
          <w:i/>
        </w:rPr>
        <w:t>Food insecurity, chronic disease, and health among working-age adults</w:t>
      </w:r>
      <w:r w:rsidRPr="001F4999">
        <w:rPr>
          <w:rFonts w:ascii="Times New Roman" w:hAnsi="Times New Roman"/>
        </w:rPr>
        <w:t>. U.S. Department of Agriculture, Economic Research Service, ERR-235.</w:t>
      </w:r>
      <w:r w:rsidR="00A56FB7" w:rsidRPr="001F4999">
        <w:rPr>
          <w:rFonts w:ascii="Times New Roman" w:hAnsi="Times New Roman"/>
        </w:rPr>
        <w:t xml:space="preserve"> Published July 2017. Retrieved from: https://nopren.org/wp-content/uploads/2017/08/ERS-Report-Food-Insecurity-Chronic-Disease-and-Health-Among-Working-Age-Adults.pdf</w:t>
      </w:r>
    </w:p>
    <w:p w14:paraId="018922A2" w14:textId="7777777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Grunert K., Dean D, Raats M., Nielsen N, Lumbers M. A measure of satisfaction with food-related life. Appetite. 2007;49:486-493.</w:t>
      </w:r>
    </w:p>
    <w:p w14:paraId="050255AE" w14:textId="63D15425" w:rsidR="004453BD" w:rsidRPr="001F4999" w:rsidRDefault="004453BD" w:rsidP="002C38B5">
      <w:pPr>
        <w:pStyle w:val="ListParagraph"/>
        <w:numPr>
          <w:ilvl w:val="0"/>
          <w:numId w:val="26"/>
        </w:numPr>
        <w:spacing w:after="0" w:line="240" w:lineRule="auto"/>
        <w:ind w:left="360"/>
        <w:rPr>
          <w:rFonts w:ascii="Times New Roman" w:eastAsia="Times New Roman,Arial,Times New" w:hAnsi="Times New Roman"/>
        </w:rPr>
      </w:pPr>
      <w:r w:rsidRPr="001F4999">
        <w:rPr>
          <w:rFonts w:ascii="Times New Roman" w:eastAsia="Times New Roman,Arial,Times New" w:hAnsi="Times New Roman"/>
        </w:rPr>
        <w:t xml:space="preserve">Gundersen C, Engelhard EE, Crumbaugh AS, Seligman HK. Brief assessment of food insecurity accurately identifies high-risk US adults. </w:t>
      </w:r>
      <w:r w:rsidRPr="001F4999">
        <w:rPr>
          <w:rFonts w:ascii="Times New Roman" w:eastAsia="Times New Roman,Arial,Times New" w:hAnsi="Times New Roman"/>
          <w:i/>
        </w:rPr>
        <w:t>Public Health Nutr.</w:t>
      </w:r>
      <w:r w:rsidRPr="001F4999">
        <w:rPr>
          <w:rFonts w:ascii="Times New Roman" w:eastAsia="Times New Roman,Arial,Times New" w:hAnsi="Times New Roman"/>
        </w:rPr>
        <w:t xml:space="preserve"> 2017;20(8):1367-1371. </w:t>
      </w:r>
      <w:r w:rsidR="008A2E70" w:rsidRPr="001F4999">
        <w:rPr>
          <w:rFonts w:ascii="Times New Roman" w:eastAsia="Times New Roman,Arial,Times New" w:hAnsi="Times New Roman"/>
        </w:rPr>
        <w:t>doi: 10.1017/S1368980017000180</w:t>
      </w:r>
    </w:p>
    <w:p w14:paraId="459DA9DC" w14:textId="77777777" w:rsidR="004453BD" w:rsidRPr="001F4999" w:rsidRDefault="004453BD" w:rsidP="002C38B5">
      <w:pPr>
        <w:pStyle w:val="ListParagraph"/>
        <w:numPr>
          <w:ilvl w:val="0"/>
          <w:numId w:val="26"/>
        </w:numPr>
        <w:spacing w:after="0" w:line="240" w:lineRule="auto"/>
        <w:ind w:left="360"/>
        <w:rPr>
          <w:rFonts w:ascii="Times New Roman" w:eastAsia="Times New Roman,Arial" w:hAnsi="Times New Roman"/>
        </w:rPr>
      </w:pPr>
      <w:r w:rsidRPr="001F4999">
        <w:rPr>
          <w:rFonts w:ascii="Times New Roman" w:eastAsia="Times New Roman,Arial" w:hAnsi="Times New Roman"/>
        </w:rPr>
        <w:lastRenderedPageBreak/>
        <w:t xml:space="preserve">Gundersen C, Ziliak JP. Food insecurity and health outcomes. </w:t>
      </w:r>
      <w:r w:rsidRPr="001F4999">
        <w:rPr>
          <w:rFonts w:ascii="Times New Roman" w:eastAsia="Times New Roman,Arial" w:hAnsi="Times New Roman"/>
          <w:i/>
          <w:iCs/>
        </w:rPr>
        <w:t>Health Affairs.</w:t>
      </w:r>
      <w:r w:rsidRPr="001F4999">
        <w:rPr>
          <w:rFonts w:ascii="Times New Roman" w:eastAsia="Times New Roman,Arial" w:hAnsi="Times New Roman"/>
        </w:rPr>
        <w:t xml:space="preserve"> 2015;34(11):1830-1839. doi:10.1377/hlthaff.2015.0645.</w:t>
      </w:r>
    </w:p>
    <w:p w14:paraId="4C8A445B" w14:textId="727EA878" w:rsidR="004453BD" w:rsidRPr="001F4999" w:rsidRDefault="004453BD" w:rsidP="002C38B5">
      <w:pPr>
        <w:pStyle w:val="ListParagraph"/>
        <w:numPr>
          <w:ilvl w:val="0"/>
          <w:numId w:val="26"/>
        </w:numPr>
        <w:tabs>
          <w:tab w:val="right" w:pos="540"/>
          <w:tab w:val="left" w:pos="720"/>
        </w:tabs>
        <w:spacing w:after="0" w:line="240" w:lineRule="auto"/>
        <w:ind w:left="360"/>
        <w:rPr>
          <w:rFonts w:ascii="Times New Roman" w:hAnsi="Times New Roman"/>
        </w:rPr>
      </w:pPr>
      <w:r w:rsidRPr="001F4999">
        <w:rPr>
          <w:rFonts w:ascii="Times New Roman" w:hAnsi="Times New Roman"/>
        </w:rPr>
        <w:t>Guralnik JM, Ferrucci L, Pieper CF, Leveille SG, Markides KS, Ostir GV et al</w:t>
      </w:r>
      <w:r w:rsidR="001C7BBF" w:rsidRPr="001F4999">
        <w:rPr>
          <w:rFonts w:ascii="Times New Roman" w:hAnsi="Times New Roman"/>
        </w:rPr>
        <w:t xml:space="preserve">. </w:t>
      </w:r>
      <w:r w:rsidRPr="001F4999">
        <w:rPr>
          <w:rFonts w:ascii="Times New Roman" w:hAnsi="Times New Roman"/>
        </w:rPr>
        <w:t xml:space="preserve">Lower extremity function and subsequent disability: consistency across studies, predictive models, and value of gait speed alone compared with the short physical performance battery. </w:t>
      </w:r>
      <w:r w:rsidRPr="001F4999">
        <w:rPr>
          <w:rFonts w:ascii="Times New Roman" w:hAnsi="Times New Roman"/>
          <w:i/>
        </w:rPr>
        <w:t>J Gerontol A Biol Sci Med Sci</w:t>
      </w:r>
      <w:r w:rsidR="001C7BBF" w:rsidRPr="001F4999">
        <w:rPr>
          <w:rFonts w:ascii="Times New Roman" w:hAnsi="Times New Roman"/>
        </w:rPr>
        <w:t>. 2000;</w:t>
      </w:r>
      <w:r w:rsidRPr="001F4999">
        <w:rPr>
          <w:rFonts w:ascii="Times New Roman" w:hAnsi="Times New Roman"/>
        </w:rPr>
        <w:t>55:M221–M231</w:t>
      </w:r>
    </w:p>
    <w:p w14:paraId="6F6D3311" w14:textId="0459DB89"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Guralnik JM, Simonsick EM, Ferrucci L, Glynn RJ, Berkman LF, Blazer DG et al</w:t>
      </w:r>
      <w:r w:rsidR="008A2E70" w:rsidRPr="001F4999">
        <w:rPr>
          <w:rFonts w:ascii="Times New Roman" w:hAnsi="Times New Roman"/>
        </w:rPr>
        <w:t xml:space="preserve">. </w:t>
      </w:r>
      <w:r w:rsidRPr="001F4999">
        <w:rPr>
          <w:rFonts w:ascii="Times New Roman" w:hAnsi="Times New Roman"/>
        </w:rPr>
        <w:t xml:space="preserve">A short physical performance battery assessing lower extremity function: association with self-reported disability and prediction of mortality and nursing home admission. </w:t>
      </w:r>
      <w:r w:rsidRPr="001F4999">
        <w:rPr>
          <w:rFonts w:ascii="Times New Roman" w:hAnsi="Times New Roman"/>
          <w:i/>
        </w:rPr>
        <w:t>J Gerontol</w:t>
      </w:r>
      <w:r w:rsidR="008A2E70" w:rsidRPr="001F4999">
        <w:rPr>
          <w:rFonts w:ascii="Times New Roman" w:hAnsi="Times New Roman"/>
        </w:rPr>
        <w:t>. 1994;</w:t>
      </w:r>
      <w:r w:rsidRPr="001F4999">
        <w:rPr>
          <w:rFonts w:ascii="Times New Roman" w:hAnsi="Times New Roman"/>
        </w:rPr>
        <w:t xml:space="preserve">49:M85–M94 </w:t>
      </w:r>
    </w:p>
    <w:p w14:paraId="4B4D157A" w14:textId="517DB2E0"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Guthrie JF</w:t>
      </w:r>
      <w:r w:rsidR="008A2E70" w:rsidRPr="001F4999">
        <w:rPr>
          <w:rFonts w:ascii="Times New Roman" w:hAnsi="Times New Roman"/>
        </w:rPr>
        <w:t xml:space="preserve">, </w:t>
      </w:r>
      <w:r w:rsidRPr="001F4999">
        <w:rPr>
          <w:rFonts w:ascii="Times New Roman" w:hAnsi="Times New Roman"/>
        </w:rPr>
        <w:t xml:space="preserve">Lin BH. Overview of the diets of lower- and higher-income elderly and their food assistance options. </w:t>
      </w:r>
      <w:r w:rsidRPr="001F4999">
        <w:rPr>
          <w:rFonts w:ascii="Times New Roman" w:hAnsi="Times New Roman"/>
          <w:i/>
        </w:rPr>
        <w:t xml:space="preserve">J Nutr Educ </w:t>
      </w:r>
      <w:r w:rsidR="008A2E70" w:rsidRPr="001F4999">
        <w:rPr>
          <w:rFonts w:ascii="Times New Roman" w:hAnsi="Times New Roman"/>
          <w:i/>
        </w:rPr>
        <w:t xml:space="preserve">&amp; Behav. </w:t>
      </w:r>
      <w:r w:rsidR="008A2E70" w:rsidRPr="001F4999">
        <w:rPr>
          <w:rFonts w:ascii="Times New Roman" w:hAnsi="Times New Roman"/>
        </w:rPr>
        <w:t>2002;</w:t>
      </w:r>
      <w:r w:rsidRPr="001F4999">
        <w:rPr>
          <w:rFonts w:ascii="Times New Roman" w:hAnsi="Times New Roman"/>
        </w:rPr>
        <w:t>34(1</w:t>
      </w:r>
      <w:r w:rsidR="008A2E70" w:rsidRPr="001F4999">
        <w:rPr>
          <w:rFonts w:ascii="Times New Roman" w:hAnsi="Times New Roman"/>
        </w:rPr>
        <w:t>):</w:t>
      </w:r>
      <w:r w:rsidRPr="001F4999">
        <w:rPr>
          <w:rFonts w:ascii="Times New Roman" w:hAnsi="Times New Roman"/>
        </w:rPr>
        <w:t>S31-S41.</w:t>
      </w:r>
    </w:p>
    <w:p w14:paraId="673DBE5D" w14:textId="5C25CCD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bCs/>
          <w:color w:val="000000"/>
        </w:rPr>
        <w:t>Harris</w:t>
      </w:r>
      <w:r w:rsidRPr="001F4999">
        <w:rPr>
          <w:rFonts w:ascii="Times New Roman" w:hAnsi="Times New Roman"/>
          <w:color w:val="000000"/>
        </w:rPr>
        <w:t> WS, Pottala JV, Varvel SA, Borowski JJ, Ward JN, </w:t>
      </w:r>
      <w:r w:rsidRPr="001F4999">
        <w:rPr>
          <w:rFonts w:ascii="Times New Roman" w:hAnsi="Times New Roman"/>
          <w:bCs/>
          <w:color w:val="000000"/>
        </w:rPr>
        <w:t>McConnell</w:t>
      </w:r>
      <w:r w:rsidRPr="001F4999">
        <w:rPr>
          <w:rFonts w:ascii="Times New Roman" w:hAnsi="Times New Roman"/>
          <w:color w:val="000000"/>
        </w:rPr>
        <w:t xml:space="preserve"> JP. </w:t>
      </w:r>
      <w:r w:rsidRPr="001F4999">
        <w:rPr>
          <w:rStyle w:val="jrnl"/>
          <w:rFonts w:ascii="Times New Roman" w:hAnsi="Times New Roman"/>
          <w:color w:val="000000"/>
        </w:rPr>
        <w:t>Prostaglandins</w:t>
      </w:r>
      <w:r w:rsidR="001C7BBF" w:rsidRPr="001F4999">
        <w:rPr>
          <w:rStyle w:val="jrnl"/>
          <w:rFonts w:ascii="Times New Roman" w:hAnsi="Times New Roman"/>
          <w:color w:val="000000"/>
        </w:rPr>
        <w:t>.</w:t>
      </w:r>
      <w:r w:rsidRPr="001F4999">
        <w:rPr>
          <w:rStyle w:val="jrnl"/>
          <w:rFonts w:ascii="Times New Roman" w:hAnsi="Times New Roman"/>
          <w:color w:val="000000"/>
        </w:rPr>
        <w:t xml:space="preserve"> </w:t>
      </w:r>
      <w:r w:rsidRPr="001F4999">
        <w:rPr>
          <w:rStyle w:val="jrnl"/>
          <w:rFonts w:ascii="Times New Roman" w:hAnsi="Times New Roman"/>
          <w:i/>
          <w:color w:val="000000"/>
        </w:rPr>
        <w:t>Leukot Essent Fatty Acids</w:t>
      </w:r>
      <w:r w:rsidRPr="001F4999">
        <w:rPr>
          <w:rFonts w:ascii="Times New Roman" w:hAnsi="Times New Roman"/>
          <w:color w:val="000000"/>
        </w:rPr>
        <w:t>. 2013 Apr;88(4):257-63.</w:t>
      </w:r>
    </w:p>
    <w:p w14:paraId="46BCD5D8" w14:textId="2E623A6F" w:rsidR="004453BD" w:rsidRPr="001F4999" w:rsidRDefault="004453BD" w:rsidP="002C38B5">
      <w:pPr>
        <w:pStyle w:val="ListParagraph"/>
        <w:numPr>
          <w:ilvl w:val="0"/>
          <w:numId w:val="26"/>
        </w:numPr>
        <w:shd w:val="clear" w:color="auto" w:fill="FFFFFF"/>
        <w:spacing w:after="0" w:line="240" w:lineRule="auto"/>
        <w:ind w:left="360"/>
        <w:rPr>
          <w:rFonts w:ascii="Times New Roman" w:hAnsi="Times New Roman"/>
        </w:rPr>
      </w:pPr>
      <w:r w:rsidRPr="001F4999">
        <w:rPr>
          <w:rFonts w:ascii="Times New Roman" w:hAnsi="Times New Roman"/>
        </w:rPr>
        <w:t xml:space="preserve">Hawton A, Green C, Dickens AP, Richards SH, Taylor RS, Edwards R, Campbell JL. The impact of social isolation on the health status and health-related quality of life of older people. </w:t>
      </w:r>
      <w:r w:rsidRPr="001F4999">
        <w:rPr>
          <w:rFonts w:ascii="Times New Roman" w:hAnsi="Times New Roman"/>
          <w:i/>
          <w:iCs/>
        </w:rPr>
        <w:t>Quality of Life Research</w:t>
      </w:r>
      <w:r w:rsidRPr="001F4999">
        <w:rPr>
          <w:rFonts w:ascii="Times New Roman" w:hAnsi="Times New Roman"/>
        </w:rPr>
        <w:t>. 2010;20(1</w:t>
      </w:r>
      <w:r w:rsidR="001C7BBF" w:rsidRPr="001F4999">
        <w:rPr>
          <w:rFonts w:ascii="Times New Roman" w:hAnsi="Times New Roman"/>
        </w:rPr>
        <w:t>):</w:t>
      </w:r>
      <w:r w:rsidRPr="001F4999">
        <w:rPr>
          <w:rFonts w:ascii="Times New Roman" w:hAnsi="Times New Roman"/>
        </w:rPr>
        <w:t>57-67.</w:t>
      </w:r>
    </w:p>
    <w:p w14:paraId="55649410" w14:textId="77777777" w:rsidR="004453BD" w:rsidRPr="001F4999" w:rsidRDefault="004453BD" w:rsidP="002C38B5">
      <w:pPr>
        <w:pStyle w:val="ListParagraph"/>
        <w:numPr>
          <w:ilvl w:val="0"/>
          <w:numId w:val="26"/>
        </w:numPr>
        <w:shd w:val="clear" w:color="auto" w:fill="FFFFFF"/>
        <w:spacing w:after="0" w:line="240" w:lineRule="auto"/>
        <w:ind w:left="360"/>
        <w:rPr>
          <w:rFonts w:ascii="Times New Roman" w:eastAsia="Times New Roman" w:hAnsi="Times New Roman"/>
        </w:rPr>
      </w:pPr>
      <w:r w:rsidRPr="001F4999">
        <w:rPr>
          <w:rFonts w:ascii="Times New Roman" w:eastAsia="Times New Roman" w:hAnsi="Times New Roman"/>
        </w:rPr>
        <w:t xml:space="preserve">Janssen I, Shepard DS, Katzmarzyk PT, Roubenoff R. The healthcare costs of sarcopenia in the United States. </w:t>
      </w:r>
      <w:r w:rsidRPr="001F4999">
        <w:rPr>
          <w:rFonts w:ascii="Times New Roman" w:eastAsia="Times New Roman" w:hAnsi="Times New Roman"/>
          <w:i/>
        </w:rPr>
        <w:t>J. Am Geriatr Soc.</w:t>
      </w:r>
      <w:r w:rsidRPr="001F4999">
        <w:rPr>
          <w:rFonts w:ascii="Times New Roman" w:eastAsia="Times New Roman" w:hAnsi="Times New Roman"/>
        </w:rPr>
        <w:t xml:space="preserve"> 2004;52:80-85. </w:t>
      </w:r>
    </w:p>
    <w:p w14:paraId="0E91066D" w14:textId="6435FB52" w:rsidR="004453BD" w:rsidRPr="001F4999" w:rsidRDefault="004453BD" w:rsidP="002C38B5">
      <w:pPr>
        <w:pStyle w:val="ListParagraph"/>
        <w:numPr>
          <w:ilvl w:val="0"/>
          <w:numId w:val="26"/>
        </w:numPr>
        <w:tabs>
          <w:tab w:val="left" w:pos="720"/>
          <w:tab w:val="left" w:pos="7830"/>
        </w:tabs>
        <w:spacing w:after="0" w:line="240" w:lineRule="auto"/>
        <w:ind w:left="360"/>
        <w:rPr>
          <w:rStyle w:val="Hyperlink"/>
          <w:rFonts w:ascii="Times New Roman" w:hAnsi="Times New Roman"/>
          <w:color w:val="auto"/>
          <w:u w:val="none"/>
        </w:rPr>
      </w:pPr>
      <w:r w:rsidRPr="001F4999">
        <w:rPr>
          <w:rFonts w:ascii="Times New Roman" w:hAnsi="Times New Roman"/>
        </w:rPr>
        <w:t xml:space="preserve">Jiang Q, Cohen N, Marra M, Woolf K, Gilbride J, Francis S. (2017). Priorities for health eating in older adults in diverse communities. </w:t>
      </w:r>
      <w:r w:rsidRPr="001F4999">
        <w:rPr>
          <w:rFonts w:ascii="Times New Roman" w:hAnsi="Times New Roman"/>
          <w:i/>
        </w:rPr>
        <w:t>J Nutr Gerontol and Geriatr;</w:t>
      </w:r>
      <w:r w:rsidR="001C7BBF" w:rsidRPr="001F4999">
        <w:rPr>
          <w:rFonts w:ascii="Times New Roman" w:hAnsi="Times New Roman"/>
        </w:rPr>
        <w:t>2017;</w:t>
      </w:r>
      <w:r w:rsidRPr="001F4999">
        <w:rPr>
          <w:rFonts w:ascii="Times New Roman" w:hAnsi="Times New Roman"/>
        </w:rPr>
        <w:t>36:</w:t>
      </w:r>
      <w:r w:rsidRPr="001F4999">
        <w:rPr>
          <w:rFonts w:ascii="Times New Roman" w:hAnsi="Times New Roman"/>
          <w:i/>
        </w:rPr>
        <w:t>75-91.</w:t>
      </w:r>
      <w:r w:rsidR="001C7BBF" w:rsidRPr="001F4999">
        <w:rPr>
          <w:rFonts w:ascii="Times New Roman" w:hAnsi="Times New Roman"/>
          <w:i/>
        </w:rPr>
        <w:t xml:space="preserve"> </w:t>
      </w:r>
      <w:r w:rsidR="00D9136A" w:rsidRPr="001F4999">
        <w:rPr>
          <w:rFonts w:ascii="Times New Roman" w:hAnsi="Times New Roman"/>
        </w:rPr>
        <w:t xml:space="preserve">Doi: </w:t>
      </w:r>
      <w:r w:rsidR="00D9136A" w:rsidRPr="001F4999">
        <w:rPr>
          <w:rStyle w:val="Hyperlink"/>
          <w:rFonts w:ascii="Times New Roman" w:hAnsi="Times New Roman"/>
          <w:color w:val="auto"/>
          <w:u w:val="none"/>
          <w:lang w:val="en"/>
        </w:rPr>
        <w:t>10.1080/21551197.2017.1365039</w:t>
      </w:r>
    </w:p>
    <w:p w14:paraId="2D101AE7" w14:textId="08D4D035" w:rsidR="00D9136A" w:rsidRPr="001F4999" w:rsidRDefault="00D9136A" w:rsidP="002C38B5">
      <w:pPr>
        <w:pStyle w:val="ListParagraph"/>
        <w:numPr>
          <w:ilvl w:val="0"/>
          <w:numId w:val="26"/>
        </w:numPr>
        <w:tabs>
          <w:tab w:val="left" w:pos="720"/>
          <w:tab w:val="left" w:pos="7830"/>
        </w:tabs>
        <w:spacing w:after="0" w:line="240" w:lineRule="auto"/>
        <w:ind w:left="360"/>
        <w:rPr>
          <w:rStyle w:val="Hyperlink"/>
          <w:rFonts w:ascii="Times New Roman" w:hAnsi="Times New Roman"/>
          <w:color w:val="auto"/>
          <w:u w:val="none"/>
        </w:rPr>
      </w:pPr>
      <w:r w:rsidRPr="001F4999">
        <w:rPr>
          <w:rStyle w:val="Hyperlink"/>
          <w:rFonts w:ascii="Times New Roman" w:hAnsi="Times New Roman"/>
          <w:color w:val="auto"/>
          <w:u w:val="none"/>
          <w:lang w:val="en"/>
        </w:rPr>
        <w:t xml:space="preserve">Jiang Q, Francis SL, Chapman-Novakofski KM, Carbone ET, Cohen N. Perceived environmental supports for fruit and vegetable consumption among older adults in the US. Manuscript in preparation. </w:t>
      </w:r>
    </w:p>
    <w:p w14:paraId="2020DB85" w14:textId="44288AFB" w:rsidR="00BA2D88" w:rsidRPr="001F4999" w:rsidRDefault="00BA2D88" w:rsidP="002C38B5">
      <w:pPr>
        <w:pStyle w:val="ListParagraph"/>
        <w:numPr>
          <w:ilvl w:val="0"/>
          <w:numId w:val="26"/>
        </w:numPr>
        <w:spacing w:after="0" w:line="240" w:lineRule="auto"/>
        <w:ind w:left="360"/>
        <w:rPr>
          <w:rStyle w:val="Hyperlink"/>
          <w:rFonts w:ascii="Times New Roman" w:eastAsia="Times New Roman,Arial" w:hAnsi="Times New Roman"/>
          <w:color w:val="0000FF"/>
        </w:rPr>
      </w:pPr>
      <w:r w:rsidRPr="001F4999">
        <w:rPr>
          <w:rFonts w:ascii="Times New Roman" w:hAnsi="Times New Roman"/>
        </w:rPr>
        <w:t xml:space="preserve">Kim J, Hoppel CL. Comprehensive approach to the quantitative analysis of mitochondrial phospholipids by HPLC-MS. </w:t>
      </w:r>
      <w:r w:rsidRPr="001F4999">
        <w:rPr>
          <w:rFonts w:ascii="Times New Roman" w:hAnsi="Times New Roman"/>
          <w:i/>
        </w:rPr>
        <w:t>J Chromatogr B Analyt Technol Biomed Life Sci.</w:t>
      </w:r>
      <w:r w:rsidR="00FD3703" w:rsidRPr="001F4999">
        <w:rPr>
          <w:rFonts w:ascii="Times New Roman" w:hAnsi="Times New Roman"/>
          <w:i/>
        </w:rPr>
        <w:t xml:space="preserve"> </w:t>
      </w:r>
      <w:r w:rsidR="00FD3703" w:rsidRPr="001F4999">
        <w:rPr>
          <w:rFonts w:ascii="Times New Roman" w:hAnsi="Times New Roman"/>
        </w:rPr>
        <w:t>2013;</w:t>
      </w:r>
      <w:r w:rsidRPr="001F4999">
        <w:rPr>
          <w:rFonts w:ascii="Times New Roman" w:hAnsi="Times New Roman"/>
        </w:rPr>
        <w:t>226:497-509.</w:t>
      </w:r>
    </w:p>
    <w:p w14:paraId="6CB04A8D" w14:textId="1395703B" w:rsidR="004453BD" w:rsidRPr="001F4999" w:rsidRDefault="004453BD" w:rsidP="002C38B5">
      <w:pPr>
        <w:pStyle w:val="ListParagraph"/>
        <w:numPr>
          <w:ilvl w:val="0"/>
          <w:numId w:val="26"/>
        </w:numPr>
        <w:tabs>
          <w:tab w:val="right" w:pos="540"/>
          <w:tab w:val="left" w:pos="720"/>
        </w:tabs>
        <w:spacing w:after="0" w:line="240" w:lineRule="auto"/>
        <w:ind w:left="360"/>
        <w:rPr>
          <w:rFonts w:ascii="Times New Roman" w:hAnsi="Times New Roman"/>
          <w:color w:val="000000"/>
        </w:rPr>
      </w:pPr>
      <w:r w:rsidRPr="001F4999">
        <w:rPr>
          <w:rFonts w:ascii="Times New Roman" w:hAnsi="Times New Roman"/>
          <w:color w:val="000000"/>
        </w:rPr>
        <w:t>Laukkanen P, Heikkinen E</w:t>
      </w:r>
      <w:r w:rsidR="00FD3703" w:rsidRPr="001F4999">
        <w:rPr>
          <w:rFonts w:ascii="Times New Roman" w:hAnsi="Times New Roman"/>
          <w:color w:val="000000"/>
        </w:rPr>
        <w:t xml:space="preserve">, </w:t>
      </w:r>
      <w:r w:rsidRPr="001F4999">
        <w:rPr>
          <w:rFonts w:ascii="Times New Roman" w:hAnsi="Times New Roman"/>
          <w:color w:val="000000"/>
        </w:rPr>
        <w:t>Kauppinen M.</w:t>
      </w:r>
      <w:r w:rsidR="00FD3703" w:rsidRPr="001F4999">
        <w:rPr>
          <w:rFonts w:ascii="Times New Roman" w:hAnsi="Times New Roman"/>
          <w:color w:val="000000"/>
        </w:rPr>
        <w:t xml:space="preserve"> </w:t>
      </w:r>
      <w:r w:rsidRPr="001F4999">
        <w:rPr>
          <w:rFonts w:ascii="Times New Roman" w:hAnsi="Times New Roman"/>
          <w:color w:val="000000"/>
        </w:rPr>
        <w:t xml:space="preserve"> Muscle strength and mobility as predictors of survival in 75-84-year-old people. </w:t>
      </w:r>
      <w:r w:rsidRPr="001F4999">
        <w:rPr>
          <w:rFonts w:ascii="Times New Roman" w:hAnsi="Times New Roman"/>
          <w:i/>
          <w:color w:val="000000"/>
        </w:rPr>
        <w:t>Age Ageing</w:t>
      </w:r>
      <w:r w:rsidR="00FD3703" w:rsidRPr="001F4999">
        <w:rPr>
          <w:rFonts w:ascii="Times New Roman" w:hAnsi="Times New Roman"/>
          <w:color w:val="000000"/>
        </w:rPr>
        <w:t>. 1995;</w:t>
      </w:r>
      <w:r w:rsidRPr="001F4999">
        <w:rPr>
          <w:rFonts w:ascii="Times New Roman" w:hAnsi="Times New Roman"/>
          <w:color w:val="000000"/>
        </w:rPr>
        <w:t>24: 468-473.</w:t>
      </w:r>
    </w:p>
    <w:p w14:paraId="422903F3" w14:textId="77777777" w:rsidR="004453BD" w:rsidRPr="001F4999" w:rsidRDefault="004453BD" w:rsidP="002C38B5">
      <w:pPr>
        <w:pStyle w:val="NoSpacing"/>
        <w:numPr>
          <w:ilvl w:val="0"/>
          <w:numId w:val="26"/>
        </w:numPr>
        <w:ind w:left="360"/>
        <w:rPr>
          <w:rFonts w:ascii="Times New Roman" w:eastAsia="Times New Roman,Arial" w:hAnsi="Times New Roman" w:cs="Times New Roman"/>
        </w:rPr>
      </w:pPr>
      <w:r w:rsidRPr="001F4999">
        <w:rPr>
          <w:rFonts w:ascii="Times New Roman" w:eastAsia="Times New Roman,Arial" w:hAnsi="Times New Roman" w:cs="Times New Roman"/>
        </w:rPr>
        <w:t xml:space="preserve">Lee JS, Johnson MA, Brown A. Older Americans Act Nutrition Program improves participants' food security in Georgia. </w:t>
      </w:r>
      <w:r w:rsidRPr="001F4999">
        <w:rPr>
          <w:rFonts w:ascii="Times New Roman" w:eastAsia="Times New Roman,Arial" w:hAnsi="Times New Roman" w:cs="Times New Roman"/>
          <w:i/>
          <w:iCs/>
        </w:rPr>
        <w:t>J Nutr Gerontol Geriatr.</w:t>
      </w:r>
      <w:r w:rsidRPr="001F4999">
        <w:rPr>
          <w:rFonts w:ascii="Times New Roman" w:eastAsia="Times New Roman,Arial" w:hAnsi="Times New Roman" w:cs="Times New Roman"/>
        </w:rPr>
        <w:t xml:space="preserve"> 2011;30(2):122-139. doi:10.1080/21551197.2011.566526.</w:t>
      </w:r>
    </w:p>
    <w:p w14:paraId="3A895D84" w14:textId="77777777" w:rsidR="004453BD" w:rsidRPr="001F4999" w:rsidRDefault="004453BD" w:rsidP="002C38B5">
      <w:pPr>
        <w:pStyle w:val="NoSpacing"/>
        <w:numPr>
          <w:ilvl w:val="0"/>
          <w:numId w:val="26"/>
        </w:numPr>
        <w:ind w:left="360"/>
        <w:rPr>
          <w:rFonts w:ascii="Times New Roman" w:eastAsia="Times New Roman,Arial" w:hAnsi="Times New Roman" w:cs="Times New Roman"/>
        </w:rPr>
      </w:pPr>
      <w:r w:rsidRPr="001F4999">
        <w:rPr>
          <w:rFonts w:ascii="Times New Roman" w:eastAsia="Times New Roman,Arial" w:hAnsi="Times New Roman" w:cs="Times New Roman"/>
        </w:rPr>
        <w:t xml:space="preserve">Lee JS. Food insecurity and healthcare costs: research strategies using local, state, and national data sources for older adults. </w:t>
      </w:r>
      <w:r w:rsidRPr="001F4999">
        <w:rPr>
          <w:rFonts w:ascii="Times New Roman" w:eastAsia="Times New Roman,Arial" w:hAnsi="Times New Roman" w:cs="Times New Roman"/>
          <w:i/>
          <w:iCs/>
        </w:rPr>
        <w:t>Adv Nutr.</w:t>
      </w:r>
      <w:r w:rsidRPr="001F4999">
        <w:rPr>
          <w:rFonts w:ascii="Times New Roman" w:eastAsia="Times New Roman,Arial" w:hAnsi="Times New Roman" w:cs="Times New Roman"/>
        </w:rPr>
        <w:t xml:space="preserve"> 2013;4(1):42-50. doi:10.3945/an.112.003194.</w:t>
      </w:r>
    </w:p>
    <w:p w14:paraId="42D55B6F" w14:textId="21F04FEA" w:rsidR="004453BD" w:rsidRPr="001F4999" w:rsidRDefault="004453BD" w:rsidP="002C38B5">
      <w:pPr>
        <w:pStyle w:val="ListParagraph"/>
        <w:numPr>
          <w:ilvl w:val="0"/>
          <w:numId w:val="26"/>
        </w:numPr>
        <w:shd w:val="clear" w:color="auto" w:fill="FFFFFF"/>
        <w:spacing w:after="0" w:line="240" w:lineRule="auto"/>
        <w:ind w:left="360"/>
        <w:rPr>
          <w:rStyle w:val="doilink"/>
          <w:rFonts w:ascii="Times New Roman" w:eastAsia="Times New Roman" w:hAnsi="Times New Roman"/>
        </w:rPr>
      </w:pPr>
      <w:r w:rsidRPr="001F4999">
        <w:rPr>
          <w:rFonts w:ascii="Times New Roman" w:hAnsi="Times New Roman"/>
        </w:rPr>
        <w:t>MacNab L, Francis</w:t>
      </w:r>
      <w:r w:rsidR="00FD3703" w:rsidRPr="001F4999">
        <w:rPr>
          <w:rFonts w:ascii="Times New Roman" w:hAnsi="Times New Roman"/>
        </w:rPr>
        <w:t xml:space="preserve"> </w:t>
      </w:r>
      <w:r w:rsidRPr="001F4999">
        <w:rPr>
          <w:rFonts w:ascii="Times New Roman" w:hAnsi="Times New Roman"/>
        </w:rPr>
        <w:t>SL, Lofgren I, Violette C</w:t>
      </w:r>
      <w:r w:rsidR="00FD3703" w:rsidRPr="001F4999">
        <w:rPr>
          <w:rFonts w:ascii="Times New Roman" w:hAnsi="Times New Roman"/>
        </w:rPr>
        <w:t xml:space="preserve">, </w:t>
      </w:r>
      <w:r w:rsidRPr="001F4999">
        <w:rPr>
          <w:rFonts w:ascii="Times New Roman" w:hAnsi="Times New Roman"/>
        </w:rPr>
        <w:t>Shelley MC, Xu F</w:t>
      </w:r>
      <w:r w:rsidR="00FD3703" w:rsidRPr="001F4999">
        <w:rPr>
          <w:rFonts w:ascii="Times New Roman" w:hAnsi="Times New Roman"/>
        </w:rPr>
        <w:t>,</w:t>
      </w:r>
      <w:r w:rsidRPr="001F4999">
        <w:rPr>
          <w:rFonts w:ascii="Times New Roman" w:hAnsi="Times New Roman"/>
        </w:rPr>
        <w:t xml:space="preserve"> Delmonico M. Factors influencing dietary intake frequencies and nutritional risk among community-residing older adults. </w:t>
      </w:r>
      <w:r w:rsidRPr="001F4999">
        <w:rPr>
          <w:rFonts w:ascii="Times New Roman" w:hAnsi="Times New Roman"/>
          <w:i/>
        </w:rPr>
        <w:t xml:space="preserve">J of Nutr Gerontol Geriatr. 2018; </w:t>
      </w:r>
      <w:r w:rsidR="00FD3703" w:rsidRPr="001F4999">
        <w:rPr>
          <w:rFonts w:ascii="Times New Roman" w:hAnsi="Times New Roman"/>
        </w:rPr>
        <w:t>doi</w:t>
      </w:r>
      <w:r w:rsidRPr="001F4999">
        <w:rPr>
          <w:rFonts w:ascii="Times New Roman" w:hAnsi="Times New Roman"/>
        </w:rPr>
        <w:t xml:space="preserve">: </w:t>
      </w:r>
      <w:hyperlink r:id="rId14" w:history="1">
        <w:r w:rsidRPr="001F4999">
          <w:rPr>
            <w:rStyle w:val="doilink"/>
            <w:rFonts w:ascii="Times New Roman" w:hAnsi="Times New Roman"/>
            <w:lang w:val="en"/>
          </w:rPr>
          <w:t>10.1080/21551197.2018.1524809</w:t>
        </w:r>
      </w:hyperlink>
    </w:p>
    <w:p w14:paraId="0E2179EF" w14:textId="46E604FB"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color w:val="0D0D0D" w:themeColor="text1" w:themeTint="F2"/>
          <w:lang w:eastAsia="x-none"/>
        </w:rPr>
        <w:t xml:space="preserve">Marra MV, Drazba M, Holásková I, and Belden WJ. </w:t>
      </w:r>
      <w:r w:rsidRPr="001F4999">
        <w:rPr>
          <w:rFonts w:ascii="Times New Roman" w:hAnsi="Times New Roman"/>
          <w:color w:val="0D0D0D" w:themeColor="text1" w:themeTint="F2"/>
        </w:rPr>
        <w:t>Nutrition Risk, but Not Diet Quality, is Associated with Leukocyte Telomere in a Middle-aged Appalachian Population</w:t>
      </w:r>
      <w:r w:rsidRPr="001F4999">
        <w:rPr>
          <w:rFonts w:ascii="Times New Roman" w:hAnsi="Times New Roman"/>
          <w:color w:val="0D0D0D" w:themeColor="text1" w:themeTint="F2"/>
          <w:lang w:eastAsia="x-none"/>
        </w:rPr>
        <w:t xml:space="preserve">.  In </w:t>
      </w:r>
      <w:r w:rsidR="00ED4F8A" w:rsidRPr="001F4999">
        <w:rPr>
          <w:rFonts w:ascii="Times New Roman" w:hAnsi="Times New Roman"/>
          <w:color w:val="0D0D0D" w:themeColor="text1" w:themeTint="F2"/>
          <w:lang w:eastAsia="x-none"/>
        </w:rPr>
        <w:t>review</w:t>
      </w:r>
      <w:r w:rsidRPr="001F4999">
        <w:rPr>
          <w:rFonts w:ascii="Times New Roman" w:hAnsi="Times New Roman"/>
          <w:color w:val="0D0D0D" w:themeColor="text1" w:themeTint="F2"/>
          <w:lang w:eastAsia="x-none"/>
        </w:rPr>
        <w:t>.</w:t>
      </w:r>
    </w:p>
    <w:p w14:paraId="354F79AD" w14:textId="77777777" w:rsidR="004453BD" w:rsidRPr="001F4999" w:rsidRDefault="004453BD" w:rsidP="002C38B5">
      <w:pPr>
        <w:pStyle w:val="ListParagraph"/>
        <w:numPr>
          <w:ilvl w:val="0"/>
          <w:numId w:val="26"/>
        </w:numPr>
        <w:spacing w:after="0" w:line="240" w:lineRule="auto"/>
        <w:ind w:left="360"/>
        <w:rPr>
          <w:rFonts w:ascii="Times New Roman" w:hAnsi="Times New Roman"/>
          <w:color w:val="0D0D0D" w:themeColor="text1" w:themeTint="F2"/>
        </w:rPr>
      </w:pPr>
      <w:r w:rsidRPr="001F4999">
        <w:rPr>
          <w:rFonts w:ascii="Times New Roman" w:eastAsia="Cambria" w:hAnsi="Times New Roman"/>
          <w:bCs/>
          <w:color w:val="0D0D0D" w:themeColor="text1" w:themeTint="F2"/>
        </w:rPr>
        <w:t>Ma</w:t>
      </w:r>
      <w:r w:rsidRPr="001F4999">
        <w:rPr>
          <w:rFonts w:ascii="Times New Roman" w:eastAsia="Cambria" w:hAnsi="Times New Roman"/>
          <w:bCs/>
          <w:color w:val="0D0D0D" w:themeColor="text1" w:themeTint="F2"/>
          <w:spacing w:val="-2"/>
        </w:rPr>
        <w:t>r</w:t>
      </w:r>
      <w:r w:rsidRPr="001F4999">
        <w:rPr>
          <w:rFonts w:ascii="Times New Roman" w:eastAsia="Cambria" w:hAnsi="Times New Roman"/>
          <w:bCs/>
          <w:color w:val="0D0D0D" w:themeColor="text1" w:themeTint="F2"/>
          <w:spacing w:val="-1"/>
        </w:rPr>
        <w:t>r</w:t>
      </w:r>
      <w:r w:rsidRPr="001F4999">
        <w:rPr>
          <w:rFonts w:ascii="Times New Roman" w:eastAsia="Cambria" w:hAnsi="Times New Roman"/>
          <w:bCs/>
          <w:color w:val="0D0D0D" w:themeColor="text1" w:themeTint="F2"/>
        </w:rPr>
        <w:t>a</w:t>
      </w:r>
      <w:r w:rsidRPr="001F4999">
        <w:rPr>
          <w:rFonts w:ascii="Times New Roman" w:eastAsia="Cambria" w:hAnsi="Times New Roman"/>
          <w:bCs/>
          <w:color w:val="0D0D0D" w:themeColor="text1" w:themeTint="F2"/>
          <w:spacing w:val="-2"/>
        </w:rPr>
        <w:t xml:space="preserve"> </w:t>
      </w:r>
      <w:r w:rsidRPr="001F4999">
        <w:rPr>
          <w:rFonts w:ascii="Times New Roman" w:eastAsia="Cambria" w:hAnsi="Times New Roman"/>
          <w:bCs/>
          <w:color w:val="0D0D0D" w:themeColor="text1" w:themeTint="F2"/>
        </w:rPr>
        <w:t xml:space="preserve">MV, </w:t>
      </w:r>
      <w:r w:rsidRPr="001F4999">
        <w:rPr>
          <w:rFonts w:ascii="Times New Roman" w:eastAsia="Calibri" w:hAnsi="Times New Roman"/>
          <w:color w:val="0D0D0D" w:themeColor="text1" w:themeTint="F2"/>
        </w:rPr>
        <w:t xml:space="preserve">Thuppal SV, </w:t>
      </w:r>
      <w:r w:rsidRPr="001F4999">
        <w:rPr>
          <w:rFonts w:ascii="Times New Roman" w:eastAsia="Cambria" w:hAnsi="Times New Roman"/>
          <w:color w:val="0D0D0D" w:themeColor="text1" w:themeTint="F2"/>
          <w:spacing w:val="-1"/>
        </w:rPr>
        <w:t xml:space="preserve">Johnson E, </w:t>
      </w:r>
      <w:r w:rsidRPr="001F4999">
        <w:rPr>
          <w:rFonts w:ascii="Times New Roman" w:eastAsia="Cambria" w:hAnsi="Times New Roman"/>
          <w:bCs/>
          <w:color w:val="0D0D0D" w:themeColor="text1" w:themeTint="F2"/>
        </w:rPr>
        <w:t>Bailey R.</w:t>
      </w:r>
      <w:r w:rsidRPr="001F4999">
        <w:rPr>
          <w:rFonts w:ascii="Times New Roman" w:eastAsia="Cambria" w:hAnsi="Times New Roman"/>
          <w:color w:val="0D0D0D" w:themeColor="text1" w:themeTint="F2"/>
          <w:spacing w:val="-1"/>
        </w:rPr>
        <w:t xml:space="preserve"> Validation of a Dietary Screening Tool in a Middle-aged Appalachian Population. </w:t>
      </w:r>
      <w:r w:rsidRPr="001F4999">
        <w:rPr>
          <w:rFonts w:ascii="Times New Roman" w:hAnsi="Times New Roman"/>
          <w:i/>
          <w:color w:val="0D0D0D" w:themeColor="text1" w:themeTint="F2"/>
        </w:rPr>
        <w:t>Nutrients. </w:t>
      </w:r>
      <w:r w:rsidRPr="001F4999">
        <w:rPr>
          <w:rFonts w:ascii="Times New Roman" w:hAnsi="Times New Roman"/>
          <w:color w:val="0D0D0D" w:themeColor="text1" w:themeTint="F2"/>
        </w:rPr>
        <w:t>2018;10(3):E345.doi: 10.3390/nu10030345.</w:t>
      </w:r>
    </w:p>
    <w:p w14:paraId="44FBAFFF" w14:textId="7777777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Mathiowetz V, Kashman N, Volland N, Weber K, Dowe M, Rogers S. Grip and pinch strength: normative data for adults. </w:t>
      </w:r>
      <w:r w:rsidRPr="001F4999">
        <w:rPr>
          <w:rFonts w:ascii="Times New Roman" w:hAnsi="Times New Roman"/>
          <w:i/>
        </w:rPr>
        <w:t>Arch Phys Med Rehabil</w:t>
      </w:r>
      <w:r w:rsidRPr="001F4999">
        <w:rPr>
          <w:rFonts w:ascii="Times New Roman" w:hAnsi="Times New Roman"/>
        </w:rPr>
        <w:t>.</w:t>
      </w:r>
      <w:r w:rsidRPr="001F4999">
        <w:rPr>
          <w:rFonts w:ascii="Times New Roman" w:hAnsi="Times New Roman"/>
          <w:i/>
        </w:rPr>
        <w:t xml:space="preserve"> </w:t>
      </w:r>
      <w:r w:rsidRPr="001F4999">
        <w:rPr>
          <w:rFonts w:ascii="Times New Roman" w:hAnsi="Times New Roman"/>
        </w:rPr>
        <w:t>1985;66:69-74</w:t>
      </w:r>
    </w:p>
    <w:p w14:paraId="069BB4CA" w14:textId="4094930C"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McLean RR et al. Criteria for clinically relevant weakness and low lean mass and their longitudinal association with incident mobility impairment and mortality: the foundation for the National Institutes of Health (FNIH) sarcopenia project. </w:t>
      </w:r>
      <w:r w:rsidRPr="001F4999">
        <w:rPr>
          <w:rFonts w:ascii="Times New Roman" w:hAnsi="Times New Roman"/>
          <w:i/>
        </w:rPr>
        <w:t>J Gerontol A Biol Sci Med Sci.</w:t>
      </w:r>
      <w:r w:rsidRPr="001F4999">
        <w:rPr>
          <w:rFonts w:ascii="Times New Roman" w:hAnsi="Times New Roman"/>
        </w:rPr>
        <w:t xml:space="preserve"> 2014 May;69(5):576-83.</w:t>
      </w:r>
    </w:p>
    <w:p w14:paraId="1EDA1585" w14:textId="4B5D9684" w:rsidR="009A4392" w:rsidRPr="001F4999" w:rsidRDefault="009A4392" w:rsidP="002C38B5">
      <w:pPr>
        <w:pStyle w:val="ListParagraph"/>
        <w:numPr>
          <w:ilvl w:val="0"/>
          <w:numId w:val="26"/>
        </w:numPr>
        <w:spacing w:after="0" w:line="240" w:lineRule="auto"/>
        <w:ind w:left="360"/>
        <w:rPr>
          <w:rFonts w:ascii="Times New Roman" w:eastAsia="Times New Roman,Arial" w:hAnsi="Times New Roman"/>
          <w:color w:val="0000FF"/>
          <w:u w:val="single"/>
        </w:rPr>
      </w:pPr>
      <w:r w:rsidRPr="001F4999">
        <w:rPr>
          <w:rFonts w:ascii="Times New Roman" w:hAnsi="Times New Roman"/>
        </w:rPr>
        <w:t>Menshikova E, Ritov VB, Fairfull L, Ferrell RE, Kelley DE, Goodpaster BH</w:t>
      </w:r>
      <w:r w:rsidR="00FD3703" w:rsidRPr="001F4999">
        <w:rPr>
          <w:rFonts w:ascii="Times New Roman" w:hAnsi="Times New Roman"/>
        </w:rPr>
        <w:t xml:space="preserve">. </w:t>
      </w:r>
      <w:r w:rsidRPr="001F4999">
        <w:rPr>
          <w:rFonts w:ascii="Times New Roman" w:hAnsi="Times New Roman"/>
        </w:rPr>
        <w:t xml:space="preserve">Effects of exercise on mitochondrial content and function in aging human skeletal muscle. </w:t>
      </w:r>
      <w:r w:rsidRPr="001F4999">
        <w:rPr>
          <w:rFonts w:ascii="Times New Roman" w:hAnsi="Times New Roman"/>
          <w:i/>
        </w:rPr>
        <w:t>J Gerontol A Biol Sci Med Sci</w:t>
      </w:r>
      <w:r w:rsidR="00FD3703" w:rsidRPr="001F4999">
        <w:rPr>
          <w:rFonts w:ascii="Times New Roman" w:hAnsi="Times New Roman"/>
        </w:rPr>
        <w:t>. 2006;</w:t>
      </w:r>
      <w:r w:rsidRPr="001F4999">
        <w:rPr>
          <w:rFonts w:ascii="Times New Roman" w:hAnsi="Times New Roman"/>
        </w:rPr>
        <w:t>61(6): 534-540.</w:t>
      </w:r>
    </w:p>
    <w:p w14:paraId="1E73531F" w14:textId="2BD7E3A1"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color w:val="0D0D0D" w:themeColor="text1" w:themeTint="F2"/>
        </w:rPr>
        <w:t xml:space="preserve">Morris A, Drazba MA, Delmonico M, Marra, MV. Assessing Sarcopenia Risk Using Established Metrics in Obese Middle-Aged and Older Men. </w:t>
      </w:r>
      <w:r w:rsidR="00FD3703" w:rsidRPr="001F4999">
        <w:rPr>
          <w:rFonts w:ascii="Times New Roman" w:hAnsi="Times New Roman"/>
          <w:i/>
          <w:color w:val="0D0D0D" w:themeColor="text1" w:themeTint="F2"/>
        </w:rPr>
        <w:t xml:space="preserve">J </w:t>
      </w:r>
      <w:r w:rsidRPr="001F4999">
        <w:rPr>
          <w:rFonts w:ascii="Times New Roman" w:hAnsi="Times New Roman"/>
          <w:i/>
          <w:color w:val="0D0D0D" w:themeColor="text1" w:themeTint="F2"/>
        </w:rPr>
        <w:t>Frailty Aging</w:t>
      </w:r>
      <w:r w:rsidRPr="001F4999">
        <w:rPr>
          <w:rFonts w:ascii="Times New Roman" w:hAnsi="Times New Roman"/>
          <w:color w:val="0D0D0D" w:themeColor="text1" w:themeTint="F2"/>
        </w:rPr>
        <w:t>. 2018;7(S1):162.</w:t>
      </w:r>
    </w:p>
    <w:p w14:paraId="49488668" w14:textId="7777777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bCs/>
          <w:color w:val="000000"/>
        </w:rPr>
        <w:lastRenderedPageBreak/>
        <w:t>Norris</w:t>
      </w:r>
      <w:r w:rsidRPr="001F4999">
        <w:rPr>
          <w:rFonts w:ascii="Times New Roman" w:hAnsi="Times New Roman"/>
          <w:color w:val="000000"/>
        </w:rPr>
        <w:t> LE, Collene AL, Asp ML, Hsu JC, Liu LF, Richardson JR, Li D, Bell D, Osei K, Jackson RD, </w:t>
      </w:r>
      <w:r w:rsidRPr="001F4999">
        <w:rPr>
          <w:rFonts w:ascii="Times New Roman" w:hAnsi="Times New Roman"/>
          <w:bCs/>
          <w:color w:val="000000"/>
        </w:rPr>
        <w:t>Belury</w:t>
      </w:r>
      <w:r w:rsidRPr="001F4999">
        <w:rPr>
          <w:rFonts w:ascii="Times New Roman" w:hAnsi="Times New Roman"/>
          <w:color w:val="000000"/>
        </w:rPr>
        <w:t xml:space="preserve"> MA. </w:t>
      </w:r>
      <w:r w:rsidRPr="001F4999">
        <w:rPr>
          <w:rStyle w:val="jrnl"/>
          <w:rFonts w:ascii="Times New Roman" w:hAnsi="Times New Roman"/>
          <w:i/>
          <w:color w:val="000000"/>
        </w:rPr>
        <w:t>Am J Clin Nutr</w:t>
      </w:r>
      <w:r w:rsidRPr="001F4999">
        <w:rPr>
          <w:rFonts w:ascii="Times New Roman" w:hAnsi="Times New Roman"/>
          <w:i/>
          <w:color w:val="000000"/>
        </w:rPr>
        <w:t>.</w:t>
      </w:r>
      <w:r w:rsidRPr="001F4999">
        <w:rPr>
          <w:rFonts w:ascii="Times New Roman" w:hAnsi="Times New Roman"/>
          <w:color w:val="000000"/>
        </w:rPr>
        <w:t xml:space="preserve"> 2009 Sep;90(3):468-76.</w:t>
      </w:r>
    </w:p>
    <w:p w14:paraId="7E591BD2" w14:textId="77777777" w:rsidR="004453BD" w:rsidRPr="001F4999" w:rsidRDefault="004453BD" w:rsidP="002C38B5">
      <w:pPr>
        <w:pStyle w:val="ListParagraph"/>
        <w:numPr>
          <w:ilvl w:val="0"/>
          <w:numId w:val="26"/>
        </w:numPr>
        <w:spacing w:after="0" w:line="240" w:lineRule="auto"/>
        <w:ind w:left="360"/>
        <w:rPr>
          <w:rFonts w:ascii="Times New Roman" w:hAnsi="Times New Roman"/>
          <w:color w:val="000000"/>
        </w:rPr>
      </w:pPr>
      <w:r w:rsidRPr="001F4999">
        <w:rPr>
          <w:rFonts w:ascii="Times New Roman" w:hAnsi="Times New Roman"/>
          <w:noProof/>
        </w:rPr>
        <w:t xml:space="preserve">Paddon-Jones D, Leidy H. Dietary protein and muscle in older persons. </w:t>
      </w:r>
      <w:r w:rsidRPr="001F4999">
        <w:rPr>
          <w:rFonts w:ascii="Times New Roman" w:hAnsi="Times New Roman"/>
          <w:i/>
          <w:noProof/>
        </w:rPr>
        <w:t>Curre Opin Clin Nutr Meab Care</w:t>
      </w:r>
      <w:r w:rsidRPr="001F4999">
        <w:rPr>
          <w:rFonts w:ascii="Times New Roman" w:hAnsi="Times New Roman"/>
          <w:noProof/>
        </w:rPr>
        <w:t xml:space="preserve">. 2014 January;17(1):5-11. Doi: 10.1097/MCO.0000000000000011. </w:t>
      </w:r>
    </w:p>
    <w:p w14:paraId="3B8D318A" w14:textId="49ECF654" w:rsidR="004453BD" w:rsidRPr="001F4999" w:rsidRDefault="004453BD" w:rsidP="002C38B5">
      <w:pPr>
        <w:pStyle w:val="ListParagraph"/>
        <w:numPr>
          <w:ilvl w:val="0"/>
          <w:numId w:val="26"/>
        </w:numPr>
        <w:tabs>
          <w:tab w:val="right" w:pos="540"/>
          <w:tab w:val="left" w:pos="720"/>
        </w:tabs>
        <w:spacing w:after="0" w:line="240" w:lineRule="auto"/>
        <w:ind w:left="360"/>
        <w:rPr>
          <w:rFonts w:ascii="Times New Roman" w:hAnsi="Times New Roman"/>
          <w:color w:val="000000"/>
        </w:rPr>
      </w:pPr>
      <w:r w:rsidRPr="001F4999">
        <w:rPr>
          <w:rFonts w:ascii="Times New Roman" w:hAnsi="Times New Roman"/>
          <w:color w:val="000000"/>
        </w:rPr>
        <w:t>Rantanen T, Guralnik JM, Foley D, Masaki K, Leveille S, Curb JD</w:t>
      </w:r>
      <w:r w:rsidR="00113F93" w:rsidRPr="001F4999">
        <w:rPr>
          <w:rFonts w:ascii="Times New Roman" w:hAnsi="Times New Roman"/>
          <w:color w:val="000000"/>
        </w:rPr>
        <w:t>,</w:t>
      </w:r>
      <w:r w:rsidRPr="001F4999">
        <w:rPr>
          <w:rFonts w:ascii="Times New Roman" w:hAnsi="Times New Roman"/>
          <w:color w:val="000000"/>
        </w:rPr>
        <w:t xml:space="preserve"> White L. Midlife hand grip strength as a predictor of old age disability. </w:t>
      </w:r>
      <w:r w:rsidRPr="001F4999">
        <w:rPr>
          <w:rFonts w:ascii="Times New Roman" w:hAnsi="Times New Roman"/>
          <w:i/>
          <w:color w:val="000000"/>
        </w:rPr>
        <w:t>JAMA</w:t>
      </w:r>
      <w:r w:rsidR="00113F93" w:rsidRPr="001F4999">
        <w:rPr>
          <w:rFonts w:ascii="Times New Roman" w:hAnsi="Times New Roman"/>
          <w:color w:val="000000"/>
        </w:rPr>
        <w:t>. 1999;</w:t>
      </w:r>
      <w:r w:rsidRPr="001F4999">
        <w:rPr>
          <w:rFonts w:ascii="Times New Roman" w:hAnsi="Times New Roman"/>
          <w:color w:val="000000"/>
        </w:rPr>
        <w:t>281: 558-560.</w:t>
      </w:r>
    </w:p>
    <w:p w14:paraId="32B2447D" w14:textId="023C39E0" w:rsidR="004453BD" w:rsidRPr="001F4999" w:rsidRDefault="004453BD" w:rsidP="002C38B5">
      <w:pPr>
        <w:pStyle w:val="ListParagraph"/>
        <w:numPr>
          <w:ilvl w:val="0"/>
          <w:numId w:val="26"/>
        </w:numPr>
        <w:spacing w:after="0" w:line="240" w:lineRule="auto"/>
        <w:ind w:left="360"/>
        <w:rPr>
          <w:rFonts w:ascii="Times New Roman" w:hAnsi="Times New Roman"/>
          <w:noProof/>
        </w:rPr>
      </w:pPr>
      <w:r w:rsidRPr="001F4999">
        <w:rPr>
          <w:rFonts w:ascii="Times New Roman" w:hAnsi="Times New Roman"/>
          <w:noProof/>
        </w:rPr>
        <w:t xml:space="preserve">Rosenberg D, Depp C, Vahia I, Reichstadt J, Palmer B, Kerr J, et al. Exergames for subsyndromal depression in older adults: a pilot study of a novel intervention. </w:t>
      </w:r>
      <w:r w:rsidRPr="001F4999">
        <w:rPr>
          <w:rFonts w:ascii="Times New Roman" w:hAnsi="Times New Roman"/>
          <w:i/>
          <w:noProof/>
        </w:rPr>
        <w:t>American Journal of Geriatric Psychiatry</w:t>
      </w:r>
      <w:r w:rsidR="00113F93" w:rsidRPr="001F4999">
        <w:rPr>
          <w:rFonts w:ascii="Times New Roman" w:hAnsi="Times New Roman"/>
          <w:i/>
          <w:noProof/>
        </w:rPr>
        <w:t>.</w:t>
      </w:r>
      <w:r w:rsidR="00113F93" w:rsidRPr="001F4999">
        <w:rPr>
          <w:rFonts w:ascii="Times New Roman" w:hAnsi="Times New Roman"/>
          <w:noProof/>
        </w:rPr>
        <w:t xml:space="preserve"> 2010;</w:t>
      </w:r>
      <w:r w:rsidRPr="001F4999">
        <w:rPr>
          <w:rFonts w:ascii="Times New Roman" w:hAnsi="Times New Roman"/>
          <w:noProof/>
        </w:rPr>
        <w:t>18</w:t>
      </w:r>
      <w:r w:rsidR="00113F93" w:rsidRPr="001F4999">
        <w:rPr>
          <w:rFonts w:ascii="Times New Roman" w:hAnsi="Times New Roman"/>
          <w:noProof/>
        </w:rPr>
        <w:t>:</w:t>
      </w:r>
      <w:r w:rsidRPr="001F4999">
        <w:rPr>
          <w:rFonts w:ascii="Times New Roman" w:hAnsi="Times New Roman"/>
          <w:noProof/>
        </w:rPr>
        <w:t xml:space="preserve">221-226. </w:t>
      </w:r>
      <w:r w:rsidRPr="001F4999">
        <w:rPr>
          <w:rFonts w:ascii="Times New Roman" w:hAnsi="Times New Roman"/>
        </w:rPr>
        <w:t>doi:10.1097/JGP.0b013e3181c534b5</w:t>
      </w:r>
    </w:p>
    <w:p w14:paraId="08C7A0BD" w14:textId="3E97C889" w:rsidR="009A4392" w:rsidRPr="001F4999" w:rsidRDefault="009A4392" w:rsidP="002C38B5">
      <w:pPr>
        <w:pStyle w:val="ListParagraph"/>
        <w:numPr>
          <w:ilvl w:val="0"/>
          <w:numId w:val="26"/>
        </w:numPr>
        <w:spacing w:after="0" w:line="240" w:lineRule="auto"/>
        <w:ind w:left="360"/>
        <w:rPr>
          <w:rFonts w:ascii="Times New Roman" w:eastAsia="Times New Roman,Arial" w:hAnsi="Times New Roman"/>
          <w:color w:val="0000FF"/>
          <w:u w:val="single"/>
        </w:rPr>
      </w:pPr>
      <w:r w:rsidRPr="001F4999">
        <w:rPr>
          <w:rFonts w:ascii="Times New Roman" w:hAnsi="Times New Roman"/>
        </w:rPr>
        <w:t>Short K, Bigelow ML, Kahl J, Singh R, Coenen-Schimke J, Raghavakaimal</w:t>
      </w:r>
      <w:r w:rsidR="00113F93" w:rsidRPr="001F4999">
        <w:rPr>
          <w:rFonts w:ascii="Times New Roman" w:hAnsi="Times New Roman"/>
        </w:rPr>
        <w:t xml:space="preserve"> </w:t>
      </w:r>
      <w:r w:rsidRPr="001F4999">
        <w:rPr>
          <w:rFonts w:ascii="Times New Roman" w:hAnsi="Times New Roman"/>
        </w:rPr>
        <w:t xml:space="preserve">S, Nair KS. Decline in skeletal muscle mitochondrial function with aging in humans. </w:t>
      </w:r>
      <w:r w:rsidRPr="001F4999">
        <w:rPr>
          <w:rFonts w:ascii="Times New Roman" w:hAnsi="Times New Roman"/>
          <w:i/>
        </w:rPr>
        <w:t>Proceedings of the National Academy of Sciences of the United States of America.</w:t>
      </w:r>
      <w:r w:rsidRPr="001F4999">
        <w:rPr>
          <w:rFonts w:ascii="Times New Roman" w:hAnsi="Times New Roman"/>
        </w:rPr>
        <w:t xml:space="preserve"> </w:t>
      </w:r>
      <w:r w:rsidR="00113F93" w:rsidRPr="001F4999">
        <w:rPr>
          <w:rFonts w:ascii="Times New Roman" w:hAnsi="Times New Roman"/>
        </w:rPr>
        <w:t>2005;</w:t>
      </w:r>
      <w:r w:rsidRPr="001F4999">
        <w:rPr>
          <w:rFonts w:ascii="Times New Roman" w:hAnsi="Times New Roman"/>
        </w:rPr>
        <w:t>102: 5618-5623.</w:t>
      </w:r>
    </w:p>
    <w:p w14:paraId="7BFA4294" w14:textId="151C0173"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Simonsick EM, Montgomery PS, Newman AB, Bauer DC, Harris T</w:t>
      </w:r>
      <w:r w:rsidR="00113F93" w:rsidRPr="001F4999">
        <w:rPr>
          <w:rFonts w:ascii="Times New Roman" w:hAnsi="Times New Roman"/>
        </w:rPr>
        <w:t xml:space="preserve">. </w:t>
      </w:r>
      <w:r w:rsidRPr="001F4999">
        <w:rPr>
          <w:rFonts w:ascii="Times New Roman" w:hAnsi="Times New Roman"/>
        </w:rPr>
        <w:t xml:space="preserve">Measuring Fitness in healthy older adults: the Health ABC Long Distance Corridor Walk. </w:t>
      </w:r>
      <w:r w:rsidRPr="001F4999">
        <w:rPr>
          <w:rFonts w:ascii="Times New Roman" w:hAnsi="Times New Roman"/>
          <w:i/>
        </w:rPr>
        <w:t>J Am Geriatr Soc</w:t>
      </w:r>
      <w:r w:rsidR="00113F93" w:rsidRPr="001F4999">
        <w:rPr>
          <w:rFonts w:ascii="Times New Roman" w:hAnsi="Times New Roman"/>
        </w:rPr>
        <w:t>. 2001;</w:t>
      </w:r>
      <w:r w:rsidRPr="001F4999">
        <w:rPr>
          <w:rFonts w:ascii="Times New Roman" w:hAnsi="Times New Roman"/>
        </w:rPr>
        <w:t>49:1544–1548</w:t>
      </w:r>
    </w:p>
    <w:p w14:paraId="4AD9196E" w14:textId="7777777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Skelton DA, McLaughlin AW. Training functional ability in old age. </w:t>
      </w:r>
      <w:r w:rsidRPr="001F4999">
        <w:rPr>
          <w:rFonts w:ascii="Times New Roman" w:hAnsi="Times New Roman"/>
          <w:i/>
        </w:rPr>
        <w:t>Physiotherapy</w:t>
      </w:r>
      <w:r w:rsidRPr="001F4999">
        <w:rPr>
          <w:rFonts w:ascii="Times New Roman" w:hAnsi="Times New Roman"/>
        </w:rPr>
        <w:t>. 1996;82:159-167</w:t>
      </w:r>
    </w:p>
    <w:p w14:paraId="05B17FEF" w14:textId="7EF636C3" w:rsidR="004453BD" w:rsidRPr="001F4999" w:rsidRDefault="004453BD" w:rsidP="002C38B5">
      <w:pPr>
        <w:pStyle w:val="ListParagraph"/>
        <w:numPr>
          <w:ilvl w:val="0"/>
          <w:numId w:val="26"/>
        </w:numPr>
        <w:shd w:val="clear" w:color="auto" w:fill="FFFFFF"/>
        <w:spacing w:after="0" w:line="240" w:lineRule="auto"/>
        <w:ind w:left="360"/>
        <w:rPr>
          <w:rFonts w:ascii="Times New Roman" w:eastAsia="Times New Roman" w:hAnsi="Times New Roman"/>
          <w:color w:val="0000FF"/>
          <w:u w:val="single"/>
        </w:rPr>
      </w:pPr>
      <w:r w:rsidRPr="001F4999">
        <w:rPr>
          <w:rFonts w:ascii="Times New Roman" w:hAnsi="Times New Roman"/>
          <w:bCs/>
        </w:rPr>
        <w:t xml:space="preserve">Slezak SG, Renna EN, Mahoney KB, Lofgren IE, Xu F, Delmonico MJ, Hatfield DL.  Effects of Periodized Resistance Training on Sarcopenia Classification in Older Inactive Women.  </w:t>
      </w:r>
      <w:r w:rsidRPr="001F4999">
        <w:rPr>
          <w:rFonts w:ascii="Times New Roman" w:hAnsi="Times New Roman"/>
          <w:bCs/>
          <w:i/>
        </w:rPr>
        <w:t>Medicine &amp; Science in Sports &amp; Exercise</w:t>
      </w:r>
      <w:r w:rsidR="00113F93" w:rsidRPr="001F4999">
        <w:rPr>
          <w:rFonts w:ascii="Times New Roman" w:hAnsi="Times New Roman"/>
          <w:bCs/>
        </w:rPr>
        <w:t>. 2017;</w:t>
      </w:r>
      <w:r w:rsidRPr="001F4999">
        <w:rPr>
          <w:rFonts w:ascii="Times New Roman" w:hAnsi="Times New Roman"/>
          <w:bCs/>
        </w:rPr>
        <w:t>49(5S):543</w:t>
      </w:r>
      <w:r w:rsidR="00113F93" w:rsidRPr="001F4999">
        <w:rPr>
          <w:rFonts w:ascii="Times New Roman" w:hAnsi="Times New Roman"/>
          <w:bCs/>
        </w:rPr>
        <w:t>.</w:t>
      </w:r>
    </w:p>
    <w:p w14:paraId="0D1FC5D6" w14:textId="5C6EDCBE" w:rsidR="009A4392" w:rsidRPr="001F4999" w:rsidRDefault="009A4392" w:rsidP="002C38B5">
      <w:pPr>
        <w:pStyle w:val="ListParagraph"/>
        <w:numPr>
          <w:ilvl w:val="0"/>
          <w:numId w:val="26"/>
        </w:numPr>
        <w:spacing w:after="0" w:line="240" w:lineRule="auto"/>
        <w:ind w:left="360"/>
        <w:rPr>
          <w:rFonts w:ascii="Times New Roman" w:eastAsia="Times New Roman,Arial" w:hAnsi="Times New Roman"/>
          <w:color w:val="0000FF"/>
          <w:u w:val="single"/>
        </w:rPr>
      </w:pPr>
      <w:r w:rsidRPr="001F4999">
        <w:rPr>
          <w:rFonts w:ascii="Times New Roman" w:hAnsi="Times New Roman"/>
        </w:rPr>
        <w:t xml:space="preserve">Srere P. Citrate synthase. </w:t>
      </w:r>
      <w:r w:rsidRPr="001F4999">
        <w:rPr>
          <w:rFonts w:ascii="Times New Roman" w:hAnsi="Times New Roman"/>
          <w:i/>
        </w:rPr>
        <w:t>Methods in Enzymology</w:t>
      </w:r>
      <w:r w:rsidR="00113F93" w:rsidRPr="001F4999">
        <w:rPr>
          <w:rFonts w:ascii="Times New Roman" w:hAnsi="Times New Roman"/>
        </w:rPr>
        <w:t>. 1969;</w:t>
      </w:r>
      <w:r w:rsidRPr="001F4999">
        <w:rPr>
          <w:rFonts w:ascii="Times New Roman" w:hAnsi="Times New Roman"/>
        </w:rPr>
        <w:t>3: 3-5.</w:t>
      </w:r>
    </w:p>
    <w:p w14:paraId="0585A7AE" w14:textId="56170E7B" w:rsidR="004453BD" w:rsidRPr="001F4999" w:rsidRDefault="004453BD" w:rsidP="002C38B5">
      <w:pPr>
        <w:pStyle w:val="ListParagraph"/>
        <w:numPr>
          <w:ilvl w:val="0"/>
          <w:numId w:val="26"/>
        </w:numPr>
        <w:spacing w:after="0" w:line="240" w:lineRule="auto"/>
        <w:ind w:left="360"/>
        <w:rPr>
          <w:rFonts w:ascii="Times New Roman" w:hAnsi="Times New Roman"/>
          <w:bCs/>
        </w:rPr>
      </w:pPr>
      <w:r w:rsidRPr="001F4999">
        <w:rPr>
          <w:rFonts w:ascii="Times New Roman" w:hAnsi="Times New Roman"/>
          <w:bCs/>
        </w:rPr>
        <w:t xml:space="preserve">Stewart AL. Conceptual challenges in linking physical activity and disability research. </w:t>
      </w:r>
      <w:r w:rsidRPr="001F4999">
        <w:rPr>
          <w:rFonts w:ascii="Times New Roman" w:hAnsi="Times New Roman"/>
          <w:bCs/>
          <w:i/>
        </w:rPr>
        <w:t xml:space="preserve">Am </w:t>
      </w:r>
      <w:r w:rsidR="00113F93" w:rsidRPr="001F4999">
        <w:rPr>
          <w:rFonts w:ascii="Times New Roman" w:hAnsi="Times New Roman"/>
          <w:bCs/>
          <w:i/>
        </w:rPr>
        <w:t>J Prev Med</w:t>
      </w:r>
      <w:r w:rsidR="00113F93" w:rsidRPr="001F4999">
        <w:rPr>
          <w:rFonts w:ascii="Times New Roman" w:hAnsi="Times New Roman"/>
          <w:bCs/>
        </w:rPr>
        <w:t>. 2003;</w:t>
      </w:r>
      <w:r w:rsidRPr="001F4999">
        <w:rPr>
          <w:rFonts w:ascii="Times New Roman" w:hAnsi="Times New Roman"/>
          <w:bCs/>
        </w:rPr>
        <w:t>25(suppl</w:t>
      </w:r>
      <w:r w:rsidR="00113F93" w:rsidRPr="001F4999">
        <w:rPr>
          <w:rFonts w:ascii="Times New Roman" w:hAnsi="Times New Roman"/>
          <w:bCs/>
        </w:rPr>
        <w:t>):</w:t>
      </w:r>
      <w:r w:rsidRPr="001F4999">
        <w:rPr>
          <w:rFonts w:ascii="Times New Roman" w:hAnsi="Times New Roman"/>
          <w:bCs/>
        </w:rPr>
        <w:t>137-140.</w:t>
      </w:r>
    </w:p>
    <w:p w14:paraId="737E65FF" w14:textId="5DAEE472" w:rsidR="004453BD" w:rsidRPr="001F4999" w:rsidRDefault="004453BD" w:rsidP="002C38B5">
      <w:pPr>
        <w:pStyle w:val="ListParagraph"/>
        <w:numPr>
          <w:ilvl w:val="0"/>
          <w:numId w:val="26"/>
        </w:numPr>
        <w:spacing w:after="0" w:line="240" w:lineRule="auto"/>
        <w:ind w:left="360"/>
        <w:rPr>
          <w:rFonts w:ascii="Times New Roman" w:eastAsia="Times New Roman,Arial" w:hAnsi="Times New Roman"/>
        </w:rPr>
      </w:pPr>
      <w:r w:rsidRPr="001F4999">
        <w:rPr>
          <w:rFonts w:ascii="Times New Roman" w:eastAsia="Times New Roman,Arial" w:hAnsi="Times New Roman"/>
        </w:rPr>
        <w:t xml:space="preserve">Strickhouser S, Wright JD, Donley AM. Food insecurity among older adults. AARP website. </w:t>
      </w:r>
      <w:r w:rsidR="00113F93" w:rsidRPr="001F4999">
        <w:rPr>
          <w:rFonts w:ascii="Times New Roman" w:eastAsia="Times New Roman,Arial" w:hAnsi="Times New Roman"/>
        </w:rPr>
        <w:t>Published 2014.  Retrieved from:</w:t>
      </w:r>
      <w:r w:rsidR="006D2907" w:rsidRPr="001F4999">
        <w:rPr>
          <w:rFonts w:ascii="Times New Roman" w:eastAsia="Times New Roman,Arial" w:hAnsi="Times New Roman"/>
        </w:rPr>
        <w:t xml:space="preserve"> </w:t>
      </w:r>
      <w:hyperlink r:id="rId15" w:history="1">
        <w:r w:rsidRPr="001F4999">
          <w:rPr>
            <w:rStyle w:val="Hyperlink"/>
            <w:rFonts w:ascii="Times New Roman" w:eastAsia="Times New Roman,Arial" w:hAnsi="Times New Roman"/>
          </w:rPr>
          <w:t>http://www.aarp.org/content/dam/aarp/aarp_foundation/2015-PDFs/AF-Food-Insecurity-2015Update-Final-Report.pdf</w:t>
        </w:r>
      </w:hyperlink>
      <w:r w:rsidRPr="001F4999">
        <w:rPr>
          <w:rFonts w:ascii="Times New Roman" w:eastAsia="Times New Roman,Arial" w:hAnsi="Times New Roman"/>
        </w:rPr>
        <w:t xml:space="preserve">. </w:t>
      </w:r>
    </w:p>
    <w:p w14:paraId="6F32263C" w14:textId="1D45EA29" w:rsidR="009A4392" w:rsidRPr="001F4999" w:rsidRDefault="009A4392" w:rsidP="002C38B5">
      <w:pPr>
        <w:pStyle w:val="ListParagraph"/>
        <w:numPr>
          <w:ilvl w:val="0"/>
          <w:numId w:val="26"/>
        </w:numPr>
        <w:spacing w:after="0" w:line="240" w:lineRule="auto"/>
        <w:ind w:left="360"/>
        <w:rPr>
          <w:rFonts w:ascii="Times New Roman" w:eastAsia="Times New Roman,Arial" w:hAnsi="Times New Roman"/>
          <w:color w:val="0000FF"/>
          <w:u w:val="single"/>
        </w:rPr>
      </w:pPr>
      <w:r w:rsidRPr="001F4999">
        <w:rPr>
          <w:rFonts w:ascii="Times New Roman" w:hAnsi="Times New Roman"/>
        </w:rPr>
        <w:t>Studenski S, Peters KW, Alley DE, Cawthon PM, McLean RR, Harris TB, Ferrucci L, Guralnik JM, Fragala MS, Kenny AM, Kiel DP, Kritchevsky</w:t>
      </w:r>
      <w:r w:rsidR="006D2907" w:rsidRPr="001F4999">
        <w:rPr>
          <w:rFonts w:ascii="Times New Roman" w:hAnsi="Times New Roman"/>
        </w:rPr>
        <w:t xml:space="preserve"> </w:t>
      </w:r>
      <w:r w:rsidRPr="001F4999">
        <w:rPr>
          <w:rFonts w:ascii="Times New Roman" w:hAnsi="Times New Roman"/>
        </w:rPr>
        <w:t xml:space="preserve">SB, Shardell MD, Dam TT, Vassileva MT. The FNIH sarcopenia project: rationale, study description, conference recommendations, and final estimates. </w:t>
      </w:r>
      <w:r w:rsidRPr="001F4999">
        <w:rPr>
          <w:rFonts w:ascii="Times New Roman" w:hAnsi="Times New Roman"/>
          <w:i/>
        </w:rPr>
        <w:t>J Gerontol A Biol Sci</w:t>
      </w:r>
      <w:r w:rsidR="00113F93" w:rsidRPr="001F4999">
        <w:rPr>
          <w:rFonts w:ascii="Times New Roman" w:hAnsi="Times New Roman"/>
        </w:rPr>
        <w:t>. 2014;</w:t>
      </w:r>
      <w:r w:rsidRPr="001F4999">
        <w:rPr>
          <w:rFonts w:ascii="Times New Roman" w:hAnsi="Times New Roman"/>
        </w:rPr>
        <w:t>69(5): 547-558.</w:t>
      </w:r>
    </w:p>
    <w:p w14:paraId="531BD2C9" w14:textId="77777777" w:rsidR="004453BD" w:rsidRPr="001F4999" w:rsidRDefault="004453BD" w:rsidP="002C38B5">
      <w:pPr>
        <w:pStyle w:val="ListParagraph"/>
        <w:numPr>
          <w:ilvl w:val="0"/>
          <w:numId w:val="26"/>
        </w:numPr>
        <w:spacing w:after="0" w:line="240" w:lineRule="auto"/>
        <w:ind w:left="360"/>
        <w:rPr>
          <w:rFonts w:ascii="Times New Roman" w:eastAsia="Times New Roman,Arial" w:hAnsi="Times New Roman"/>
        </w:rPr>
      </w:pPr>
      <w:r w:rsidRPr="001F4999">
        <w:rPr>
          <w:rFonts w:ascii="Times New Roman" w:eastAsia="Times New Roman,Arial" w:hAnsi="Times New Roman"/>
        </w:rPr>
        <w:t>Thomas KS. Outcomes matter: the need for improved data collection and measurement in our nation's home-delivered meals programs.</w:t>
      </w:r>
      <w:r w:rsidRPr="001F4999">
        <w:rPr>
          <w:rFonts w:ascii="Times New Roman" w:eastAsia="Times New Roman,Arial" w:hAnsi="Times New Roman"/>
          <w:i/>
          <w:iCs/>
        </w:rPr>
        <w:t xml:space="preserve"> J Nutr Gerontol Geriatr</w:t>
      </w:r>
      <w:r w:rsidRPr="001F4999">
        <w:rPr>
          <w:rFonts w:ascii="Times New Roman" w:eastAsia="Times New Roman,Arial" w:hAnsi="Times New Roman"/>
        </w:rPr>
        <w:t>. 2015;34(2):85-89. doi:10.1080/21551197.2015.1031591.</w:t>
      </w:r>
    </w:p>
    <w:p w14:paraId="6D723944" w14:textId="7C4F2CB2" w:rsidR="004453BD" w:rsidRPr="001F4999" w:rsidRDefault="004453BD" w:rsidP="00113F93">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U.S. Census Bureau. </w:t>
      </w:r>
      <w:r w:rsidRPr="001F4999">
        <w:rPr>
          <w:rFonts w:ascii="Times New Roman" w:hAnsi="Times New Roman"/>
          <w:i/>
        </w:rPr>
        <w:t>2012-2016 American Community Survey 5-Year Estimates</w:t>
      </w:r>
      <w:r w:rsidRPr="001F4999">
        <w:rPr>
          <w:rFonts w:ascii="Times New Roman" w:hAnsi="Times New Roman"/>
        </w:rPr>
        <w:t>. Retrieved from</w:t>
      </w:r>
      <w:r w:rsidR="00113F93" w:rsidRPr="001F4999">
        <w:rPr>
          <w:rFonts w:ascii="Times New Roman" w:hAnsi="Times New Roman"/>
        </w:rPr>
        <w:t>https://factfinder.census.gov/faces/tableservices/jsf/pages/productview.xhtml?src=bkmk</w:t>
      </w:r>
      <w:r w:rsidRPr="001F4999">
        <w:rPr>
          <w:rFonts w:ascii="Times New Roman" w:hAnsi="Times New Roman"/>
        </w:rPr>
        <w:t xml:space="preserve">. </w:t>
      </w:r>
      <w:r w:rsidR="00113F93" w:rsidRPr="001F4999">
        <w:rPr>
          <w:rFonts w:ascii="Times New Roman" w:hAnsi="Times New Roman"/>
        </w:rPr>
        <w:t xml:space="preserve"> Accessed on December 26, 2018</w:t>
      </w:r>
    </w:p>
    <w:p w14:paraId="520BD426" w14:textId="226ACBAB"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United Health Foundation. </w:t>
      </w:r>
      <w:r w:rsidRPr="001F4999">
        <w:rPr>
          <w:rFonts w:ascii="Times New Roman" w:hAnsi="Times New Roman"/>
          <w:i/>
        </w:rPr>
        <w:t>America’s health rankings senior report</w:t>
      </w:r>
      <w:r w:rsidRPr="001F4999">
        <w:rPr>
          <w:rFonts w:ascii="Times New Roman" w:hAnsi="Times New Roman"/>
        </w:rPr>
        <w:t xml:space="preserve">. Retrieved from: </w:t>
      </w:r>
      <w:hyperlink r:id="rId16" w:history="1">
        <w:r w:rsidRPr="001F4999">
          <w:rPr>
            <w:rStyle w:val="Hyperlink"/>
            <w:rFonts w:ascii="Times New Roman" w:hAnsi="Times New Roman"/>
          </w:rPr>
          <w:t>https://www.americashealthrankings.org/learn/reports/2017-senior-report/executive-summary</w:t>
        </w:r>
      </w:hyperlink>
      <w:r w:rsidRPr="001F4999">
        <w:rPr>
          <w:rFonts w:ascii="Times New Roman" w:hAnsi="Times New Roman"/>
        </w:rPr>
        <w:t>.</w:t>
      </w:r>
      <w:r w:rsidR="003436C5" w:rsidRPr="001F4999">
        <w:rPr>
          <w:rFonts w:ascii="Times New Roman" w:hAnsi="Times New Roman"/>
        </w:rPr>
        <w:t xml:space="preserve"> Accessed on December 26, 2018.</w:t>
      </w:r>
    </w:p>
    <w:p w14:paraId="2AD685C1" w14:textId="3127D541" w:rsidR="004453BD" w:rsidRPr="001F4999" w:rsidRDefault="004453BD" w:rsidP="002C38B5">
      <w:pPr>
        <w:pStyle w:val="ListParagraph"/>
        <w:numPr>
          <w:ilvl w:val="0"/>
          <w:numId w:val="26"/>
        </w:numPr>
        <w:spacing w:after="0" w:line="240" w:lineRule="auto"/>
        <w:ind w:left="360"/>
        <w:rPr>
          <w:rStyle w:val="Hyperlink"/>
          <w:rFonts w:ascii="Times New Roman" w:hAnsi="Times New Roman"/>
        </w:rPr>
      </w:pPr>
      <w:r w:rsidRPr="001F4999">
        <w:rPr>
          <w:rFonts w:ascii="Times New Roman" w:hAnsi="Times New Roman"/>
        </w:rPr>
        <w:t xml:space="preserve">United States Department of Agriculture. </w:t>
      </w:r>
      <w:r w:rsidRPr="001F4999">
        <w:rPr>
          <w:rFonts w:ascii="Times New Roman" w:hAnsi="Times New Roman"/>
          <w:i/>
        </w:rPr>
        <w:t xml:space="preserve">MyPlate food groups. </w:t>
      </w:r>
      <w:r w:rsidR="003436C5" w:rsidRPr="001F4999">
        <w:rPr>
          <w:rFonts w:ascii="Times New Roman" w:hAnsi="Times New Roman"/>
        </w:rPr>
        <w:t xml:space="preserve">Updated December 2018. </w:t>
      </w:r>
      <w:r w:rsidRPr="001F4999">
        <w:rPr>
          <w:rFonts w:ascii="Times New Roman" w:hAnsi="Times New Roman"/>
        </w:rPr>
        <w:t xml:space="preserve">Retrieved from </w:t>
      </w:r>
      <w:hyperlink r:id="rId17" w:history="1">
        <w:r w:rsidRPr="001F4999">
          <w:rPr>
            <w:rStyle w:val="Hyperlink"/>
            <w:rFonts w:ascii="Times New Roman" w:hAnsi="Times New Roman"/>
          </w:rPr>
          <w:t>http://www.choosemyplate.gov/food-groups/</w:t>
        </w:r>
      </w:hyperlink>
    </w:p>
    <w:p w14:paraId="02D60FB0" w14:textId="7A6424F0" w:rsidR="004453BD" w:rsidRPr="001F4999" w:rsidRDefault="00FD364E" w:rsidP="003436C5">
      <w:pPr>
        <w:pStyle w:val="ListParagraph"/>
        <w:numPr>
          <w:ilvl w:val="0"/>
          <w:numId w:val="26"/>
        </w:numPr>
        <w:spacing w:after="0" w:line="240" w:lineRule="auto"/>
        <w:ind w:left="360"/>
        <w:rPr>
          <w:rFonts w:ascii="Times New Roman" w:eastAsia="Times New Roman,Arial" w:hAnsi="Times New Roman"/>
        </w:rPr>
      </w:pPr>
      <w:r w:rsidRPr="001F4999">
        <w:rPr>
          <w:rFonts w:ascii="Times New Roman" w:hAnsi="Times New Roman"/>
        </w:rPr>
        <w:t>United States Department of Agriculture</w:t>
      </w:r>
      <w:r w:rsidR="004453BD" w:rsidRPr="001F4999">
        <w:rPr>
          <w:rFonts w:ascii="Times New Roman" w:eastAsia="Times New Roman,Arial" w:hAnsi="Times New Roman"/>
        </w:rPr>
        <w:t xml:space="preserve">, Economic Research Service. </w:t>
      </w:r>
      <w:r w:rsidR="004453BD" w:rsidRPr="001F4999">
        <w:rPr>
          <w:rFonts w:ascii="Times New Roman" w:hAnsi="Times New Roman"/>
        </w:rPr>
        <w:t xml:space="preserve">U.S. Household Food Security Survey Module: Six-Item Short Form. </w:t>
      </w:r>
      <w:r w:rsidR="003436C5" w:rsidRPr="001F4999">
        <w:rPr>
          <w:rFonts w:ascii="Times New Roman" w:hAnsi="Times New Roman"/>
        </w:rPr>
        <w:t xml:space="preserve">Published September 2012. Retrieved from: </w:t>
      </w:r>
      <w:hyperlink r:id="rId18" w:history="1">
        <w:r w:rsidR="003436C5" w:rsidRPr="001F4999">
          <w:rPr>
            <w:rStyle w:val="Hyperlink"/>
            <w:rFonts w:ascii="Times New Roman" w:eastAsia="Times New Roman,Arial,Times New" w:hAnsi="Times New Roman"/>
          </w:rPr>
          <w:t>https://www.ers.usda.gov/media/8282/short2012.pdf</w:t>
        </w:r>
      </w:hyperlink>
      <w:r w:rsidR="003436C5" w:rsidRPr="001F4999">
        <w:rPr>
          <w:rStyle w:val="Hyperlink"/>
          <w:rFonts w:ascii="Times New Roman" w:eastAsia="Times New Roman,Arial,Times New" w:hAnsi="Times New Roman"/>
        </w:rPr>
        <w:t xml:space="preserve"> </w:t>
      </w:r>
    </w:p>
    <w:p w14:paraId="4EE2FAE7" w14:textId="18DE68E5" w:rsidR="00FD364E" w:rsidRPr="001F4999" w:rsidRDefault="00FD364E" w:rsidP="00FD364E">
      <w:pPr>
        <w:pStyle w:val="ListParagraph"/>
        <w:numPr>
          <w:ilvl w:val="0"/>
          <w:numId w:val="26"/>
        </w:numPr>
        <w:spacing w:after="0" w:line="240" w:lineRule="auto"/>
        <w:ind w:left="360"/>
        <w:rPr>
          <w:rFonts w:ascii="Times New Roman" w:eastAsia="Times New Roman,Arial" w:hAnsi="Times New Roman"/>
        </w:rPr>
      </w:pPr>
      <w:r w:rsidRPr="001F4999">
        <w:rPr>
          <w:rFonts w:ascii="Times New Roman" w:hAnsi="Times New Roman"/>
        </w:rPr>
        <w:t>United States Department of Agriculture</w:t>
      </w:r>
      <w:r w:rsidRPr="001F4999">
        <w:rPr>
          <w:rFonts w:ascii="Times New Roman" w:eastAsia="Times New Roman,Arial" w:hAnsi="Times New Roman"/>
        </w:rPr>
        <w:t xml:space="preserve">, Economic Research Service. State Fact Sheets. </w:t>
      </w:r>
      <w:r w:rsidR="003436C5" w:rsidRPr="001F4999">
        <w:rPr>
          <w:rFonts w:ascii="Times New Roman" w:eastAsia="Times New Roman,Arial" w:hAnsi="Times New Roman"/>
        </w:rPr>
        <w:t xml:space="preserve">Updated November 2018. Retrieved from: </w:t>
      </w:r>
      <w:hyperlink r:id="rId19" w:history="1">
        <w:r w:rsidRPr="001F4999">
          <w:rPr>
            <w:rStyle w:val="Hyperlink"/>
            <w:rFonts w:ascii="Times New Roman" w:eastAsia="Times New Roman,Arial" w:hAnsi="Times New Roman"/>
          </w:rPr>
          <w:t>https://www.ers.usda.gov/data-products/state-fact-sheets/</w:t>
        </w:r>
      </w:hyperlink>
      <w:r w:rsidRPr="001F4999">
        <w:rPr>
          <w:rFonts w:ascii="Times New Roman" w:eastAsia="Times New Roman,Arial" w:hAnsi="Times New Roman"/>
        </w:rPr>
        <w:t xml:space="preserve"> </w:t>
      </w:r>
    </w:p>
    <w:p w14:paraId="69248CDB" w14:textId="00292D52" w:rsidR="004453BD" w:rsidRPr="001F4999" w:rsidRDefault="004453BD" w:rsidP="002C38B5">
      <w:pPr>
        <w:pStyle w:val="ListParagraph"/>
        <w:numPr>
          <w:ilvl w:val="0"/>
          <w:numId w:val="26"/>
        </w:numPr>
        <w:spacing w:after="0" w:line="240" w:lineRule="auto"/>
        <w:ind w:left="360"/>
        <w:rPr>
          <w:rFonts w:ascii="Times New Roman" w:hAnsi="Times New Roman"/>
          <w:lang w:val="en"/>
        </w:rPr>
      </w:pPr>
      <w:r w:rsidRPr="001F4999">
        <w:rPr>
          <w:rFonts w:ascii="Times New Roman" w:hAnsi="Times New Roman"/>
          <w:lang w:val="en"/>
        </w:rPr>
        <w:t>US Department of Health and Human Services, Office of Disease Prevention and Health Promotion. Older adults: overview. Healthy People 2020 website.</w:t>
      </w:r>
      <w:r w:rsidR="003436C5" w:rsidRPr="001F4999">
        <w:rPr>
          <w:rFonts w:ascii="Times New Roman" w:hAnsi="Times New Roman"/>
          <w:lang w:val="en"/>
        </w:rPr>
        <w:t xml:space="preserve"> Updated December 2018. Retrieved from: </w:t>
      </w:r>
      <w:r w:rsidRPr="001F4999">
        <w:rPr>
          <w:rFonts w:ascii="Times New Roman" w:hAnsi="Times New Roman"/>
          <w:lang w:val="en"/>
        </w:rPr>
        <w:t xml:space="preserve"> </w:t>
      </w:r>
      <w:hyperlink r:id="rId20" w:history="1">
        <w:r w:rsidRPr="001F4999">
          <w:rPr>
            <w:rStyle w:val="Hyperlink"/>
            <w:rFonts w:ascii="Times New Roman" w:hAnsi="Times New Roman"/>
            <w:lang w:val="en"/>
          </w:rPr>
          <w:t>https://www.healthypeople.gov/2020/topics-objectives/topic/older-adults</w:t>
        </w:r>
      </w:hyperlink>
      <w:r w:rsidRPr="001F4999">
        <w:rPr>
          <w:rFonts w:ascii="Times New Roman" w:hAnsi="Times New Roman"/>
          <w:lang w:val="en"/>
        </w:rPr>
        <w:t xml:space="preserve">. </w:t>
      </w:r>
    </w:p>
    <w:p w14:paraId="3A3C9710" w14:textId="1F63D9CA" w:rsidR="004453BD" w:rsidRPr="001F4999" w:rsidRDefault="004453BD" w:rsidP="002C38B5">
      <w:pPr>
        <w:pStyle w:val="ListParagraph"/>
        <w:numPr>
          <w:ilvl w:val="0"/>
          <w:numId w:val="26"/>
        </w:numPr>
        <w:tabs>
          <w:tab w:val="right" w:pos="540"/>
          <w:tab w:val="left" w:pos="720"/>
        </w:tabs>
        <w:spacing w:after="0" w:line="240" w:lineRule="auto"/>
        <w:ind w:left="360"/>
        <w:rPr>
          <w:rFonts w:ascii="Times New Roman" w:hAnsi="Times New Roman"/>
          <w:color w:val="000000"/>
        </w:rPr>
      </w:pPr>
      <w:r w:rsidRPr="001F4999">
        <w:rPr>
          <w:rFonts w:ascii="Times New Roman" w:hAnsi="Times New Roman"/>
          <w:color w:val="000000"/>
        </w:rPr>
        <w:t>Vestergaard S, Patel KV, Bandinelli S, Ferrucci L</w:t>
      </w:r>
      <w:r w:rsidR="003436C5" w:rsidRPr="001F4999">
        <w:rPr>
          <w:rFonts w:ascii="Times New Roman" w:hAnsi="Times New Roman"/>
          <w:color w:val="000000"/>
        </w:rPr>
        <w:t>,</w:t>
      </w:r>
      <w:r w:rsidRPr="001F4999">
        <w:rPr>
          <w:rFonts w:ascii="Times New Roman" w:hAnsi="Times New Roman"/>
          <w:color w:val="000000"/>
        </w:rPr>
        <w:t xml:space="preserve"> Guralnik</w:t>
      </w:r>
      <w:r w:rsidR="003436C5" w:rsidRPr="001F4999">
        <w:rPr>
          <w:rFonts w:ascii="Times New Roman" w:hAnsi="Times New Roman"/>
          <w:color w:val="000000"/>
        </w:rPr>
        <w:t xml:space="preserve"> </w:t>
      </w:r>
      <w:r w:rsidRPr="001F4999">
        <w:rPr>
          <w:rFonts w:ascii="Times New Roman" w:hAnsi="Times New Roman"/>
          <w:color w:val="000000"/>
        </w:rPr>
        <w:t xml:space="preserve">JM. Characteristics of 400-meter walk test performance and subsequent mortality in older adults. </w:t>
      </w:r>
      <w:r w:rsidRPr="001F4999">
        <w:rPr>
          <w:rFonts w:ascii="Times New Roman" w:hAnsi="Times New Roman"/>
          <w:i/>
          <w:color w:val="000000"/>
        </w:rPr>
        <w:t>Rejuvenation Res</w:t>
      </w:r>
      <w:r w:rsidRPr="001F4999">
        <w:rPr>
          <w:rFonts w:ascii="Times New Roman" w:hAnsi="Times New Roman"/>
          <w:color w:val="000000"/>
        </w:rPr>
        <w:t xml:space="preserve">. </w:t>
      </w:r>
      <w:r w:rsidR="003436C5" w:rsidRPr="001F4999">
        <w:rPr>
          <w:rFonts w:ascii="Times New Roman" w:hAnsi="Times New Roman"/>
          <w:color w:val="000000"/>
        </w:rPr>
        <w:t>2009;</w:t>
      </w:r>
      <w:r w:rsidRPr="001F4999">
        <w:rPr>
          <w:rFonts w:ascii="Times New Roman" w:hAnsi="Times New Roman"/>
          <w:color w:val="000000"/>
        </w:rPr>
        <w:t>12: 177-184.</w:t>
      </w:r>
    </w:p>
    <w:p w14:paraId="21846626" w14:textId="6406B2B7" w:rsidR="009A4392" w:rsidRPr="001F4999" w:rsidRDefault="009A4392" w:rsidP="002C38B5">
      <w:pPr>
        <w:pStyle w:val="ListParagraph"/>
        <w:numPr>
          <w:ilvl w:val="0"/>
          <w:numId w:val="26"/>
        </w:numPr>
        <w:spacing w:after="0" w:line="240" w:lineRule="auto"/>
        <w:ind w:left="360"/>
        <w:rPr>
          <w:rFonts w:ascii="Times New Roman" w:eastAsia="Times New Roman,Arial" w:hAnsi="Times New Roman"/>
          <w:color w:val="0000FF"/>
          <w:u w:val="single"/>
        </w:rPr>
      </w:pPr>
      <w:r w:rsidRPr="001F4999">
        <w:rPr>
          <w:rFonts w:ascii="Times New Roman" w:hAnsi="Times New Roman"/>
        </w:rPr>
        <w:lastRenderedPageBreak/>
        <w:t>Vestergaard</w:t>
      </w:r>
      <w:r w:rsidR="003436C5" w:rsidRPr="001F4999">
        <w:rPr>
          <w:rFonts w:ascii="Times New Roman" w:hAnsi="Times New Roman"/>
        </w:rPr>
        <w:t xml:space="preserve"> </w:t>
      </w:r>
      <w:r w:rsidRPr="001F4999">
        <w:rPr>
          <w:rFonts w:ascii="Times New Roman" w:hAnsi="Times New Roman"/>
        </w:rPr>
        <w:t>S., Nayfield</w:t>
      </w:r>
      <w:r w:rsidR="003436C5" w:rsidRPr="001F4999">
        <w:rPr>
          <w:rFonts w:ascii="Times New Roman" w:hAnsi="Times New Roman"/>
        </w:rPr>
        <w:t xml:space="preserve"> </w:t>
      </w:r>
      <w:r w:rsidRPr="001F4999">
        <w:rPr>
          <w:rFonts w:ascii="Times New Roman" w:hAnsi="Times New Roman"/>
        </w:rPr>
        <w:t>SC, Patel</w:t>
      </w:r>
      <w:r w:rsidR="003436C5" w:rsidRPr="001F4999">
        <w:rPr>
          <w:rFonts w:ascii="Times New Roman" w:hAnsi="Times New Roman"/>
        </w:rPr>
        <w:t xml:space="preserve"> </w:t>
      </w:r>
      <w:r w:rsidRPr="001F4999">
        <w:rPr>
          <w:rFonts w:ascii="Times New Roman" w:hAnsi="Times New Roman"/>
        </w:rPr>
        <w:t>KV, Eldadah B, Cesari M, Ferrucci L, Ceresini G, Guralnik JM. Fatigue in a representative population of older persons and its association with fun</w:t>
      </w:r>
      <w:r w:rsidR="001845A5" w:rsidRPr="001F4999">
        <w:rPr>
          <w:rFonts w:ascii="Times New Roman" w:hAnsi="Times New Roman"/>
        </w:rPr>
        <w:t>c</w:t>
      </w:r>
      <w:r w:rsidRPr="001F4999">
        <w:rPr>
          <w:rFonts w:ascii="Times New Roman" w:hAnsi="Times New Roman"/>
        </w:rPr>
        <w:t xml:space="preserve">tional impairment, functional limitation, and disability. </w:t>
      </w:r>
      <w:r w:rsidRPr="001F4999">
        <w:rPr>
          <w:rFonts w:ascii="Times New Roman" w:hAnsi="Times New Roman"/>
          <w:i/>
        </w:rPr>
        <w:t>J Gerontol A Biol Sci Med Sci</w:t>
      </w:r>
      <w:r w:rsidR="003436C5" w:rsidRPr="001F4999">
        <w:rPr>
          <w:rFonts w:ascii="Times New Roman" w:hAnsi="Times New Roman"/>
        </w:rPr>
        <w:t>. 2009;</w:t>
      </w:r>
      <w:r w:rsidRPr="001F4999">
        <w:rPr>
          <w:rFonts w:ascii="Times New Roman" w:hAnsi="Times New Roman"/>
        </w:rPr>
        <w:t>64(1): 76-81.</w:t>
      </w:r>
    </w:p>
    <w:p w14:paraId="417C01B3" w14:textId="7C427CA3"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Wu RT, Cao L, Mattson E, Witwer KW, Cao J, Zeng H, He X, Combs GF Jr, Cheng WH. Opposing impacts on healthspan and longevity by limiting dietary selenium in telomere dysfunctional mice. </w:t>
      </w:r>
      <w:r w:rsidRPr="001F4999">
        <w:rPr>
          <w:rFonts w:ascii="Times New Roman" w:hAnsi="Times New Roman"/>
          <w:i/>
        </w:rPr>
        <w:t>Aging Cell</w:t>
      </w:r>
      <w:r w:rsidRPr="001F4999">
        <w:rPr>
          <w:rFonts w:ascii="Times New Roman" w:hAnsi="Times New Roman"/>
        </w:rPr>
        <w:t>. 2017 Feb;16(1):125-135. doi: 10.1111/acel.12529.</w:t>
      </w:r>
    </w:p>
    <w:p w14:paraId="4D5A1568" w14:textId="77777777"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Young DR, Jess SH, Appel LJ.  A comparison of the Yale Physical Activity Survey with other physical activity measures.  </w:t>
      </w:r>
      <w:r w:rsidRPr="001F4999">
        <w:rPr>
          <w:rFonts w:ascii="Times New Roman" w:hAnsi="Times New Roman"/>
          <w:i/>
        </w:rPr>
        <w:t>Med Sci Sports Exerc</w:t>
      </w:r>
      <w:r w:rsidRPr="001F4999">
        <w:rPr>
          <w:rFonts w:ascii="Times New Roman" w:hAnsi="Times New Roman"/>
        </w:rPr>
        <w:t>. 2001;33:955-961.</w:t>
      </w:r>
    </w:p>
    <w:p w14:paraId="13F40768" w14:textId="21E33D4C"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Zhang L, Zeng H, Cheng WH. Beneficial and paradoxical roles of selenium at nutritional levels of intake in healthspan and longevity. </w:t>
      </w:r>
      <w:r w:rsidRPr="001F4999">
        <w:rPr>
          <w:rFonts w:ascii="Times New Roman" w:hAnsi="Times New Roman"/>
          <w:i/>
        </w:rPr>
        <w:t>Free Radic Biol Med.</w:t>
      </w:r>
      <w:r w:rsidRPr="001F4999">
        <w:rPr>
          <w:rFonts w:ascii="Times New Roman" w:hAnsi="Times New Roman"/>
        </w:rPr>
        <w:t xml:space="preserve"> 2018 Nov 1;127:3-13. doi: 10.1016/j.freeradbiomed.2018.05.067.</w:t>
      </w:r>
    </w:p>
    <w:p w14:paraId="7170735B" w14:textId="18C01D9B" w:rsidR="00F25751" w:rsidRPr="001F4999" w:rsidRDefault="00F25751" w:rsidP="00F25751">
      <w:pPr>
        <w:pStyle w:val="ListParagraph"/>
        <w:numPr>
          <w:ilvl w:val="0"/>
          <w:numId w:val="26"/>
        </w:numPr>
        <w:spacing w:after="0" w:line="240" w:lineRule="auto"/>
        <w:ind w:left="360"/>
        <w:rPr>
          <w:rFonts w:ascii="Times New Roman" w:hAnsi="Times New Roman"/>
        </w:rPr>
      </w:pPr>
      <w:r w:rsidRPr="001F4999">
        <w:rPr>
          <w:rFonts w:ascii="Times New Roman" w:hAnsi="Times New Roman"/>
        </w:rPr>
        <w:t xml:space="preserve">Zhao Z, Barcus M, Kim J, Lum KL, Mills C1, and Lei XG. High dietary selenium intake alters lipid metabolism and protein synthesis in liver and muscle of pigs. </w:t>
      </w:r>
      <w:r w:rsidRPr="001F4999">
        <w:rPr>
          <w:rFonts w:ascii="Times New Roman" w:hAnsi="Times New Roman"/>
          <w:i/>
        </w:rPr>
        <w:t xml:space="preserve">J. Nutr. </w:t>
      </w:r>
      <w:r w:rsidR="001F6949" w:rsidRPr="001F4999">
        <w:rPr>
          <w:rFonts w:ascii="Times New Roman" w:hAnsi="Times New Roman"/>
        </w:rPr>
        <w:t>2016;</w:t>
      </w:r>
      <w:r w:rsidRPr="001F4999">
        <w:rPr>
          <w:rFonts w:ascii="Times New Roman" w:hAnsi="Times New Roman"/>
        </w:rPr>
        <w:t>146:1625-33. doi: 10.3945/jn.116.229955.</w:t>
      </w:r>
    </w:p>
    <w:p w14:paraId="13CCE558" w14:textId="601EF26F" w:rsidR="004453BD" w:rsidRPr="001F4999" w:rsidRDefault="004453BD" w:rsidP="002C38B5">
      <w:pPr>
        <w:pStyle w:val="ListParagraph"/>
        <w:numPr>
          <w:ilvl w:val="0"/>
          <w:numId w:val="26"/>
        </w:numPr>
        <w:spacing w:after="0" w:line="240" w:lineRule="auto"/>
        <w:ind w:left="360"/>
        <w:rPr>
          <w:rFonts w:ascii="Times New Roman" w:hAnsi="Times New Roman"/>
        </w:rPr>
      </w:pPr>
      <w:r w:rsidRPr="001F4999">
        <w:rPr>
          <w:rFonts w:ascii="Times New Roman" w:hAnsi="Times New Roman"/>
        </w:rPr>
        <w:t>Ziliak JP</w:t>
      </w:r>
      <w:r w:rsidR="001F6949" w:rsidRPr="001F4999">
        <w:rPr>
          <w:rFonts w:ascii="Times New Roman" w:hAnsi="Times New Roman"/>
        </w:rPr>
        <w:t>,</w:t>
      </w:r>
      <w:r w:rsidRPr="001F4999">
        <w:rPr>
          <w:rFonts w:ascii="Times New Roman" w:hAnsi="Times New Roman"/>
        </w:rPr>
        <w:t xml:space="preserve"> Gundersen</w:t>
      </w:r>
      <w:r w:rsidR="001F6949" w:rsidRPr="001F4999">
        <w:rPr>
          <w:rFonts w:ascii="Times New Roman" w:hAnsi="Times New Roman"/>
        </w:rPr>
        <w:t xml:space="preserve"> </w:t>
      </w:r>
      <w:r w:rsidRPr="001F4999">
        <w:rPr>
          <w:rFonts w:ascii="Times New Roman" w:hAnsi="Times New Roman"/>
        </w:rPr>
        <w:t xml:space="preserve">C. </w:t>
      </w:r>
      <w:r w:rsidRPr="001F4999">
        <w:rPr>
          <w:rFonts w:ascii="Times New Roman" w:hAnsi="Times New Roman"/>
          <w:i/>
        </w:rPr>
        <w:t xml:space="preserve">The state of senior hunger in America 2015: an annual report. </w:t>
      </w:r>
      <w:r w:rsidRPr="001F4999">
        <w:rPr>
          <w:rFonts w:ascii="Times New Roman" w:hAnsi="Times New Roman"/>
        </w:rPr>
        <w:t xml:space="preserve">National Foundation to End Senior Hunger, Feeding America. </w:t>
      </w:r>
      <w:r w:rsidR="001F6949" w:rsidRPr="001F4999">
        <w:rPr>
          <w:rFonts w:ascii="Times New Roman" w:hAnsi="Times New Roman"/>
        </w:rPr>
        <w:t>Published August 2017</w:t>
      </w:r>
      <w:r w:rsidR="00D9269E" w:rsidRPr="001F4999">
        <w:rPr>
          <w:rFonts w:ascii="Times New Roman" w:hAnsi="Times New Roman"/>
        </w:rPr>
        <w:t>.</w:t>
      </w:r>
      <w:r w:rsidR="001F6949" w:rsidRPr="001F4999">
        <w:rPr>
          <w:rFonts w:ascii="Times New Roman" w:hAnsi="Times New Roman"/>
        </w:rPr>
        <w:t xml:space="preserve"> </w:t>
      </w:r>
      <w:r w:rsidRPr="001F4999">
        <w:rPr>
          <w:rFonts w:ascii="Times New Roman" w:hAnsi="Times New Roman"/>
        </w:rPr>
        <w:t xml:space="preserve">Retrieved from: </w:t>
      </w:r>
      <w:hyperlink r:id="rId21" w:history="1">
        <w:r w:rsidRPr="001F4999">
          <w:rPr>
            <w:rStyle w:val="Hyperlink"/>
            <w:rFonts w:ascii="Times New Roman" w:hAnsi="Times New Roman"/>
          </w:rPr>
          <w:t>http://www.feedingamerica.org/research/senior-hunger-research/state-of-senior-hunger-2015.pdf</w:t>
        </w:r>
      </w:hyperlink>
      <w:r w:rsidRPr="001F4999">
        <w:rPr>
          <w:rFonts w:ascii="Times New Roman" w:hAnsi="Times New Roman"/>
        </w:rPr>
        <w:t>.</w:t>
      </w:r>
    </w:p>
    <w:p w14:paraId="1C46AD28" w14:textId="563BD73F" w:rsidR="00730281" w:rsidRPr="001F4999" w:rsidRDefault="004453BD" w:rsidP="00556704">
      <w:pPr>
        <w:pStyle w:val="ListParagraph"/>
        <w:numPr>
          <w:ilvl w:val="0"/>
          <w:numId w:val="26"/>
        </w:numPr>
        <w:spacing w:after="0" w:line="240" w:lineRule="auto"/>
        <w:ind w:left="360"/>
        <w:rPr>
          <w:rFonts w:ascii="Times New Roman" w:hAnsi="Times New Roman"/>
        </w:rPr>
      </w:pPr>
      <w:r w:rsidRPr="001F4999">
        <w:rPr>
          <w:rFonts w:ascii="Times New Roman" w:eastAsia="Times New Roman,Arial" w:hAnsi="Times New Roman"/>
        </w:rPr>
        <w:t>Ziliak JP, Gundersen C, Haist M. The causes, consequences, and future of senior hunger in America. s</w:t>
      </w:r>
      <w:r w:rsidRPr="001F4999">
        <w:rPr>
          <w:rFonts w:ascii="Times New Roman" w:eastAsia="Times New Roman,Arial,Times New" w:hAnsi="Times New Roman"/>
        </w:rPr>
        <w:t xml:space="preserve">pecial report by the University of Kentucky Center for Poverty Research for the Meals on Wheels Association of America Foundation. Published 2008. </w:t>
      </w:r>
    </w:p>
    <w:sectPr w:rsidR="00730281" w:rsidRPr="001F4999" w:rsidSect="00330B6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0D207" w16cid:durableId="1FB99429"/>
  <w16cid:commentId w16cid:paraId="5E3E1501" w16cid:durableId="1FB989A5"/>
  <w16cid:commentId w16cid:paraId="247DF3CF" w16cid:durableId="1FB98922"/>
  <w16cid:commentId w16cid:paraId="580182E0" w16cid:durableId="1FB99795"/>
  <w16cid:commentId w16cid:paraId="693F7D94" w16cid:durableId="1FB98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43F5" w14:textId="77777777" w:rsidR="00E42EB4" w:rsidRDefault="00E42EB4" w:rsidP="001F5577">
      <w:pPr>
        <w:spacing w:after="0" w:line="240" w:lineRule="auto"/>
      </w:pPr>
      <w:r>
        <w:separator/>
      </w:r>
    </w:p>
  </w:endnote>
  <w:endnote w:type="continuationSeparator" w:id="0">
    <w:p w14:paraId="0B6F4EE0" w14:textId="77777777" w:rsidR="00E42EB4" w:rsidRDefault="00E42EB4" w:rsidP="001F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Arial,Times New">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83B7" w14:textId="77777777" w:rsidR="00A56FB7" w:rsidRDefault="00A56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856084"/>
      <w:docPartObj>
        <w:docPartGallery w:val="Page Numbers (Bottom of Page)"/>
        <w:docPartUnique/>
      </w:docPartObj>
    </w:sdtPr>
    <w:sdtEndPr>
      <w:rPr>
        <w:noProof/>
      </w:rPr>
    </w:sdtEndPr>
    <w:sdtContent>
      <w:p w14:paraId="5FBB17BC" w14:textId="2D48FF17" w:rsidR="00A56FB7" w:rsidRDefault="00A56FB7">
        <w:pPr>
          <w:pStyle w:val="Footer"/>
          <w:jc w:val="center"/>
        </w:pPr>
        <w:r>
          <w:fldChar w:fldCharType="begin"/>
        </w:r>
        <w:r>
          <w:instrText xml:space="preserve"> PAGE   \* MERGEFORMAT </w:instrText>
        </w:r>
        <w:r>
          <w:fldChar w:fldCharType="separate"/>
        </w:r>
        <w:r w:rsidR="001F4999">
          <w:rPr>
            <w:noProof/>
          </w:rPr>
          <w:t>11</w:t>
        </w:r>
        <w:r>
          <w:rPr>
            <w:noProof/>
          </w:rPr>
          <w:fldChar w:fldCharType="end"/>
        </w:r>
      </w:p>
    </w:sdtContent>
  </w:sdt>
  <w:p w14:paraId="3C3071D4" w14:textId="77777777" w:rsidR="00A56FB7" w:rsidRDefault="00A56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4CF8" w14:textId="77777777" w:rsidR="00A56FB7" w:rsidRDefault="00A56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49BD" w14:textId="77777777" w:rsidR="00E42EB4" w:rsidRDefault="00E42EB4" w:rsidP="001F5577">
      <w:pPr>
        <w:spacing w:after="0" w:line="240" w:lineRule="auto"/>
      </w:pPr>
      <w:r>
        <w:separator/>
      </w:r>
    </w:p>
  </w:footnote>
  <w:footnote w:type="continuationSeparator" w:id="0">
    <w:p w14:paraId="6ED81370" w14:textId="77777777" w:rsidR="00E42EB4" w:rsidRDefault="00E42EB4" w:rsidP="001F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9271" w14:textId="77777777" w:rsidR="00A56FB7" w:rsidRDefault="00A56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E929" w14:textId="77777777" w:rsidR="00A56FB7" w:rsidRDefault="00A56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A2A8" w14:textId="77777777" w:rsidR="00A56FB7" w:rsidRDefault="00A56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B03"/>
    <w:multiLevelType w:val="hybridMultilevel"/>
    <w:tmpl w:val="FA02CA82"/>
    <w:lvl w:ilvl="0" w:tplc="803AC6C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34BA"/>
    <w:multiLevelType w:val="hybridMultilevel"/>
    <w:tmpl w:val="F58480F4"/>
    <w:lvl w:ilvl="0" w:tplc="A0489B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067D3"/>
    <w:multiLevelType w:val="hybridMultilevel"/>
    <w:tmpl w:val="D0FC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B4A"/>
    <w:multiLevelType w:val="hybridMultilevel"/>
    <w:tmpl w:val="205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16A5"/>
    <w:multiLevelType w:val="hybridMultilevel"/>
    <w:tmpl w:val="CE1236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4E2F"/>
    <w:multiLevelType w:val="hybridMultilevel"/>
    <w:tmpl w:val="4D32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D22BB"/>
    <w:multiLevelType w:val="hybridMultilevel"/>
    <w:tmpl w:val="30A0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73831"/>
    <w:multiLevelType w:val="hybridMultilevel"/>
    <w:tmpl w:val="A9D4C998"/>
    <w:lvl w:ilvl="0" w:tplc="FFFFFFFF">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3703"/>
    <w:multiLevelType w:val="hybridMultilevel"/>
    <w:tmpl w:val="1FA2D72E"/>
    <w:lvl w:ilvl="0" w:tplc="B2E22A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C2BC2"/>
    <w:multiLevelType w:val="hybridMultilevel"/>
    <w:tmpl w:val="E044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989"/>
    <w:multiLevelType w:val="hybridMultilevel"/>
    <w:tmpl w:val="BBA6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73795"/>
    <w:multiLevelType w:val="hybridMultilevel"/>
    <w:tmpl w:val="FAB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C5F91"/>
    <w:multiLevelType w:val="hybridMultilevel"/>
    <w:tmpl w:val="F30A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35709"/>
    <w:multiLevelType w:val="hybridMultilevel"/>
    <w:tmpl w:val="6C8C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069E2"/>
    <w:multiLevelType w:val="hybridMultilevel"/>
    <w:tmpl w:val="AEBE46D6"/>
    <w:lvl w:ilvl="0" w:tplc="F666512A">
      <w:start w:val="1"/>
      <w:numFmt w:val="decimal"/>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54AFD"/>
    <w:multiLevelType w:val="hybridMultilevel"/>
    <w:tmpl w:val="2B4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14D7B"/>
    <w:multiLevelType w:val="hybridMultilevel"/>
    <w:tmpl w:val="1B923960"/>
    <w:lvl w:ilvl="0" w:tplc="C9ECF322">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055E7B"/>
    <w:multiLevelType w:val="multilevel"/>
    <w:tmpl w:val="A87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96EDE"/>
    <w:multiLevelType w:val="hybridMultilevel"/>
    <w:tmpl w:val="95A46282"/>
    <w:lvl w:ilvl="0" w:tplc="8F1C96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B1467"/>
    <w:multiLevelType w:val="hybridMultilevel"/>
    <w:tmpl w:val="ED16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C0F15"/>
    <w:multiLevelType w:val="hybridMultilevel"/>
    <w:tmpl w:val="A78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F3B5E"/>
    <w:multiLevelType w:val="hybridMultilevel"/>
    <w:tmpl w:val="7E2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159E2"/>
    <w:multiLevelType w:val="hybridMultilevel"/>
    <w:tmpl w:val="DAA8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320CB"/>
    <w:multiLevelType w:val="hybridMultilevel"/>
    <w:tmpl w:val="9064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D15E7"/>
    <w:multiLevelType w:val="hybridMultilevel"/>
    <w:tmpl w:val="F2B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C094D"/>
    <w:multiLevelType w:val="hybridMultilevel"/>
    <w:tmpl w:val="E92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92F1E"/>
    <w:multiLevelType w:val="hybridMultilevel"/>
    <w:tmpl w:val="8C5AC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E23D73"/>
    <w:multiLevelType w:val="hybridMultilevel"/>
    <w:tmpl w:val="4A669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
  </w:num>
  <w:num w:numId="4">
    <w:abstractNumId w:val="11"/>
  </w:num>
  <w:num w:numId="5">
    <w:abstractNumId w:val="19"/>
  </w:num>
  <w:num w:numId="6">
    <w:abstractNumId w:val="7"/>
  </w:num>
  <w:num w:numId="7">
    <w:abstractNumId w:val="16"/>
  </w:num>
  <w:num w:numId="8">
    <w:abstractNumId w:val="18"/>
  </w:num>
  <w:num w:numId="9">
    <w:abstractNumId w:val="12"/>
  </w:num>
  <w:num w:numId="10">
    <w:abstractNumId w:val="24"/>
  </w:num>
  <w:num w:numId="11">
    <w:abstractNumId w:val="3"/>
  </w:num>
  <w:num w:numId="12">
    <w:abstractNumId w:val="17"/>
  </w:num>
  <w:num w:numId="13">
    <w:abstractNumId w:val="8"/>
  </w:num>
  <w:num w:numId="14">
    <w:abstractNumId w:val="25"/>
  </w:num>
  <w:num w:numId="15">
    <w:abstractNumId w:val="5"/>
  </w:num>
  <w:num w:numId="16">
    <w:abstractNumId w:val="13"/>
  </w:num>
  <w:num w:numId="17">
    <w:abstractNumId w:val="23"/>
  </w:num>
  <w:num w:numId="18">
    <w:abstractNumId w:val="9"/>
  </w:num>
  <w:num w:numId="19">
    <w:abstractNumId w:val="2"/>
  </w:num>
  <w:num w:numId="20">
    <w:abstractNumId w:val="14"/>
  </w:num>
  <w:num w:numId="21">
    <w:abstractNumId w:val="15"/>
  </w:num>
  <w:num w:numId="22">
    <w:abstractNumId w:val="20"/>
  </w:num>
  <w:num w:numId="23">
    <w:abstractNumId w:val="10"/>
  </w:num>
  <w:num w:numId="24">
    <w:abstractNumId w:val="22"/>
  </w:num>
  <w:num w:numId="25">
    <w:abstractNumId w:val="1"/>
  </w:num>
  <w:num w:numId="26">
    <w:abstractNumId w:val="0"/>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w5vvdxv25ft6eptv5xst585prwsz99e0fa&quot;&gt;Endnote test MAB Box Sync&lt;record-ids&gt;&lt;item&gt;10170&lt;/item&gt;&lt;item&gt;10376&lt;/item&gt;&lt;item&gt;10386&lt;/item&gt;&lt;item&gt;10397&lt;/item&gt;&lt;item&gt;10427&lt;/item&gt;&lt;item&gt;10447&lt;/item&gt;&lt;item&gt;10459&lt;/item&gt;&lt;item&gt;10473&lt;/item&gt;&lt;/record-ids&gt;&lt;/item&gt;&lt;/Libraries&gt;"/>
  </w:docVars>
  <w:rsids>
    <w:rsidRoot w:val="00B64A0E"/>
    <w:rsid w:val="0000139A"/>
    <w:rsid w:val="000027BA"/>
    <w:rsid w:val="00010EF0"/>
    <w:rsid w:val="00013714"/>
    <w:rsid w:val="00020A04"/>
    <w:rsid w:val="000376B0"/>
    <w:rsid w:val="00053151"/>
    <w:rsid w:val="00067576"/>
    <w:rsid w:val="00073E38"/>
    <w:rsid w:val="00084AEE"/>
    <w:rsid w:val="000C00A8"/>
    <w:rsid w:val="000C1EE8"/>
    <w:rsid w:val="000D248D"/>
    <w:rsid w:val="000E0691"/>
    <w:rsid w:val="000F37A0"/>
    <w:rsid w:val="00101E6D"/>
    <w:rsid w:val="001040C2"/>
    <w:rsid w:val="00107EC8"/>
    <w:rsid w:val="00113276"/>
    <w:rsid w:val="00113F93"/>
    <w:rsid w:val="00126744"/>
    <w:rsid w:val="00167EFA"/>
    <w:rsid w:val="001845A5"/>
    <w:rsid w:val="0019404F"/>
    <w:rsid w:val="001B50A1"/>
    <w:rsid w:val="001B65DA"/>
    <w:rsid w:val="001B6B7D"/>
    <w:rsid w:val="001C4E4C"/>
    <w:rsid w:val="001C7BBF"/>
    <w:rsid w:val="001C7F89"/>
    <w:rsid w:val="001D44AD"/>
    <w:rsid w:val="001F1270"/>
    <w:rsid w:val="001F4999"/>
    <w:rsid w:val="001F5577"/>
    <w:rsid w:val="001F6949"/>
    <w:rsid w:val="002002FD"/>
    <w:rsid w:val="00206775"/>
    <w:rsid w:val="00211907"/>
    <w:rsid w:val="00225689"/>
    <w:rsid w:val="00237C6F"/>
    <w:rsid w:val="002428AE"/>
    <w:rsid w:val="00250938"/>
    <w:rsid w:val="00255969"/>
    <w:rsid w:val="002651A6"/>
    <w:rsid w:val="002927B9"/>
    <w:rsid w:val="002A0383"/>
    <w:rsid w:val="002A07AA"/>
    <w:rsid w:val="002C38B5"/>
    <w:rsid w:val="002C3A48"/>
    <w:rsid w:val="002D640B"/>
    <w:rsid w:val="002E0368"/>
    <w:rsid w:val="002F4D53"/>
    <w:rsid w:val="00302A6B"/>
    <w:rsid w:val="00304EDD"/>
    <w:rsid w:val="00320311"/>
    <w:rsid w:val="00320BAF"/>
    <w:rsid w:val="00330B65"/>
    <w:rsid w:val="00336576"/>
    <w:rsid w:val="003436C5"/>
    <w:rsid w:val="00353559"/>
    <w:rsid w:val="00360216"/>
    <w:rsid w:val="003609FA"/>
    <w:rsid w:val="00364A85"/>
    <w:rsid w:val="00371154"/>
    <w:rsid w:val="00384F35"/>
    <w:rsid w:val="003A447F"/>
    <w:rsid w:val="003A4933"/>
    <w:rsid w:val="003A6281"/>
    <w:rsid w:val="003B18D6"/>
    <w:rsid w:val="003B7079"/>
    <w:rsid w:val="003D0FFC"/>
    <w:rsid w:val="003E3CA3"/>
    <w:rsid w:val="004001E6"/>
    <w:rsid w:val="00403BF5"/>
    <w:rsid w:val="00432370"/>
    <w:rsid w:val="00437658"/>
    <w:rsid w:val="004451A2"/>
    <w:rsid w:val="004453BD"/>
    <w:rsid w:val="00445E5A"/>
    <w:rsid w:val="00454BF4"/>
    <w:rsid w:val="004732A5"/>
    <w:rsid w:val="00484B65"/>
    <w:rsid w:val="00497223"/>
    <w:rsid w:val="004B2B36"/>
    <w:rsid w:val="004C68E1"/>
    <w:rsid w:val="004C77A7"/>
    <w:rsid w:val="004D0CBF"/>
    <w:rsid w:val="004D1C5B"/>
    <w:rsid w:val="004E51F0"/>
    <w:rsid w:val="00522BB6"/>
    <w:rsid w:val="00560BBB"/>
    <w:rsid w:val="00572346"/>
    <w:rsid w:val="00593537"/>
    <w:rsid w:val="005B0C45"/>
    <w:rsid w:val="005B6421"/>
    <w:rsid w:val="005C1590"/>
    <w:rsid w:val="005E001A"/>
    <w:rsid w:val="005E1728"/>
    <w:rsid w:val="00602666"/>
    <w:rsid w:val="00604011"/>
    <w:rsid w:val="00606078"/>
    <w:rsid w:val="00622B85"/>
    <w:rsid w:val="006334B5"/>
    <w:rsid w:val="00633FBA"/>
    <w:rsid w:val="00644F6F"/>
    <w:rsid w:val="0064692D"/>
    <w:rsid w:val="006650F7"/>
    <w:rsid w:val="00676FB4"/>
    <w:rsid w:val="006B23D4"/>
    <w:rsid w:val="006B67E7"/>
    <w:rsid w:val="006C5209"/>
    <w:rsid w:val="006C6C28"/>
    <w:rsid w:val="006D2907"/>
    <w:rsid w:val="006D2E52"/>
    <w:rsid w:val="006D3DD6"/>
    <w:rsid w:val="006D7F49"/>
    <w:rsid w:val="006E47A1"/>
    <w:rsid w:val="007141CA"/>
    <w:rsid w:val="007221C8"/>
    <w:rsid w:val="0072726A"/>
    <w:rsid w:val="00730281"/>
    <w:rsid w:val="007356D0"/>
    <w:rsid w:val="00737CE3"/>
    <w:rsid w:val="00755FA9"/>
    <w:rsid w:val="00760D96"/>
    <w:rsid w:val="00777ACD"/>
    <w:rsid w:val="007A0C91"/>
    <w:rsid w:val="007A27DF"/>
    <w:rsid w:val="0081239A"/>
    <w:rsid w:val="008130AC"/>
    <w:rsid w:val="00813DA8"/>
    <w:rsid w:val="00814B30"/>
    <w:rsid w:val="0082337D"/>
    <w:rsid w:val="00824573"/>
    <w:rsid w:val="008247BD"/>
    <w:rsid w:val="008772A8"/>
    <w:rsid w:val="00886E07"/>
    <w:rsid w:val="008A2E70"/>
    <w:rsid w:val="008B49CD"/>
    <w:rsid w:val="008C4D96"/>
    <w:rsid w:val="008D1F55"/>
    <w:rsid w:val="008D6FEE"/>
    <w:rsid w:val="009406D8"/>
    <w:rsid w:val="009545AE"/>
    <w:rsid w:val="00956058"/>
    <w:rsid w:val="00977D1D"/>
    <w:rsid w:val="00992763"/>
    <w:rsid w:val="009929FD"/>
    <w:rsid w:val="009A4392"/>
    <w:rsid w:val="009B2AB8"/>
    <w:rsid w:val="009C57B0"/>
    <w:rsid w:val="009C67A6"/>
    <w:rsid w:val="009D4F6C"/>
    <w:rsid w:val="00A25476"/>
    <w:rsid w:val="00A25F4A"/>
    <w:rsid w:val="00A41565"/>
    <w:rsid w:val="00A56FB7"/>
    <w:rsid w:val="00A91166"/>
    <w:rsid w:val="00A92D94"/>
    <w:rsid w:val="00A939E9"/>
    <w:rsid w:val="00AA374A"/>
    <w:rsid w:val="00AC1D05"/>
    <w:rsid w:val="00AD3326"/>
    <w:rsid w:val="00B12125"/>
    <w:rsid w:val="00B15CBA"/>
    <w:rsid w:val="00B21DA9"/>
    <w:rsid w:val="00B221DF"/>
    <w:rsid w:val="00B321D6"/>
    <w:rsid w:val="00B52B0C"/>
    <w:rsid w:val="00B6084A"/>
    <w:rsid w:val="00B64A0E"/>
    <w:rsid w:val="00B67C25"/>
    <w:rsid w:val="00B7746E"/>
    <w:rsid w:val="00B93CAA"/>
    <w:rsid w:val="00B9627D"/>
    <w:rsid w:val="00BA2D88"/>
    <w:rsid w:val="00BB2CE4"/>
    <w:rsid w:val="00BB4523"/>
    <w:rsid w:val="00BC54C3"/>
    <w:rsid w:val="00BD00DE"/>
    <w:rsid w:val="00BD6084"/>
    <w:rsid w:val="00BF6696"/>
    <w:rsid w:val="00C13CB4"/>
    <w:rsid w:val="00C17CE6"/>
    <w:rsid w:val="00C23510"/>
    <w:rsid w:val="00C27731"/>
    <w:rsid w:val="00C4237F"/>
    <w:rsid w:val="00C4545B"/>
    <w:rsid w:val="00C57920"/>
    <w:rsid w:val="00C6408C"/>
    <w:rsid w:val="00C97C53"/>
    <w:rsid w:val="00CA23F5"/>
    <w:rsid w:val="00CB11CA"/>
    <w:rsid w:val="00CD03CB"/>
    <w:rsid w:val="00CD7FD4"/>
    <w:rsid w:val="00CF005C"/>
    <w:rsid w:val="00D30E5D"/>
    <w:rsid w:val="00D32041"/>
    <w:rsid w:val="00D40306"/>
    <w:rsid w:val="00D463E3"/>
    <w:rsid w:val="00D50ECB"/>
    <w:rsid w:val="00D57103"/>
    <w:rsid w:val="00D70B97"/>
    <w:rsid w:val="00D76139"/>
    <w:rsid w:val="00D80FE9"/>
    <w:rsid w:val="00D82DEC"/>
    <w:rsid w:val="00D83AF2"/>
    <w:rsid w:val="00D9136A"/>
    <w:rsid w:val="00D9269E"/>
    <w:rsid w:val="00DA70B0"/>
    <w:rsid w:val="00DB3BF0"/>
    <w:rsid w:val="00DC3995"/>
    <w:rsid w:val="00DD1243"/>
    <w:rsid w:val="00DF4381"/>
    <w:rsid w:val="00E22636"/>
    <w:rsid w:val="00E24757"/>
    <w:rsid w:val="00E25215"/>
    <w:rsid w:val="00E409C9"/>
    <w:rsid w:val="00E42EB4"/>
    <w:rsid w:val="00E47AD5"/>
    <w:rsid w:val="00E52B94"/>
    <w:rsid w:val="00E60B39"/>
    <w:rsid w:val="00E65A55"/>
    <w:rsid w:val="00E7264A"/>
    <w:rsid w:val="00E7404B"/>
    <w:rsid w:val="00E81706"/>
    <w:rsid w:val="00E837D4"/>
    <w:rsid w:val="00E8730F"/>
    <w:rsid w:val="00E87A41"/>
    <w:rsid w:val="00EC6D35"/>
    <w:rsid w:val="00ED4F8A"/>
    <w:rsid w:val="00F00732"/>
    <w:rsid w:val="00F25751"/>
    <w:rsid w:val="00F2730A"/>
    <w:rsid w:val="00F43166"/>
    <w:rsid w:val="00F43A93"/>
    <w:rsid w:val="00F621AD"/>
    <w:rsid w:val="00F6692B"/>
    <w:rsid w:val="00F66BE6"/>
    <w:rsid w:val="00F97367"/>
    <w:rsid w:val="00FA1B96"/>
    <w:rsid w:val="00FB4E14"/>
    <w:rsid w:val="00FD364E"/>
    <w:rsid w:val="00FD3703"/>
    <w:rsid w:val="00FE18D3"/>
    <w:rsid w:val="00FE651E"/>
    <w:rsid w:val="00FE7EFF"/>
    <w:rsid w:val="00FF03CD"/>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98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D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76139"/>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E60B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40B"/>
    <w:rPr>
      <w:color w:val="0563C1" w:themeColor="hyperlink"/>
      <w:u w:val="single"/>
    </w:rPr>
  </w:style>
  <w:style w:type="paragraph" w:styleId="ListParagraph">
    <w:name w:val="List Paragraph"/>
    <w:basedOn w:val="Normal"/>
    <w:link w:val="ListParagraphChar"/>
    <w:uiPriority w:val="34"/>
    <w:qFormat/>
    <w:rsid w:val="002D640B"/>
    <w:pPr>
      <w:spacing w:line="252" w:lineRule="auto"/>
      <w:ind w:left="720"/>
      <w:contextualSpacing/>
    </w:pPr>
    <w:rPr>
      <w:rFonts w:ascii="Calibri" w:hAnsi="Calibri" w:cs="Times New Roman"/>
    </w:rPr>
  </w:style>
  <w:style w:type="character" w:styleId="CommentReference">
    <w:name w:val="annotation reference"/>
    <w:basedOn w:val="DefaultParagraphFont"/>
    <w:unhideWhenUsed/>
    <w:rsid w:val="00760D96"/>
    <w:rPr>
      <w:sz w:val="16"/>
      <w:szCs w:val="16"/>
    </w:rPr>
  </w:style>
  <w:style w:type="paragraph" w:styleId="CommentText">
    <w:name w:val="annotation text"/>
    <w:basedOn w:val="Normal"/>
    <w:link w:val="CommentTextChar"/>
    <w:unhideWhenUsed/>
    <w:rsid w:val="00760D96"/>
    <w:pPr>
      <w:spacing w:line="240" w:lineRule="auto"/>
    </w:pPr>
    <w:rPr>
      <w:sz w:val="20"/>
      <w:szCs w:val="20"/>
    </w:rPr>
  </w:style>
  <w:style w:type="character" w:customStyle="1" w:styleId="CommentTextChar">
    <w:name w:val="Comment Text Char"/>
    <w:basedOn w:val="DefaultParagraphFont"/>
    <w:link w:val="CommentText"/>
    <w:rsid w:val="00760D96"/>
    <w:rPr>
      <w:sz w:val="20"/>
      <w:szCs w:val="20"/>
    </w:rPr>
  </w:style>
  <w:style w:type="paragraph" w:styleId="CommentSubject">
    <w:name w:val="annotation subject"/>
    <w:basedOn w:val="CommentText"/>
    <w:next w:val="CommentText"/>
    <w:link w:val="CommentSubjectChar"/>
    <w:uiPriority w:val="99"/>
    <w:semiHidden/>
    <w:unhideWhenUsed/>
    <w:rsid w:val="00760D96"/>
    <w:rPr>
      <w:b/>
      <w:bCs/>
    </w:rPr>
  </w:style>
  <w:style w:type="character" w:customStyle="1" w:styleId="CommentSubjectChar">
    <w:name w:val="Comment Subject Char"/>
    <w:basedOn w:val="CommentTextChar"/>
    <w:link w:val="CommentSubject"/>
    <w:uiPriority w:val="99"/>
    <w:semiHidden/>
    <w:rsid w:val="00760D96"/>
    <w:rPr>
      <w:b/>
      <w:bCs/>
      <w:sz w:val="20"/>
      <w:szCs w:val="20"/>
    </w:rPr>
  </w:style>
  <w:style w:type="paragraph" w:styleId="BalloonText">
    <w:name w:val="Balloon Text"/>
    <w:basedOn w:val="Normal"/>
    <w:link w:val="BalloonTextChar"/>
    <w:uiPriority w:val="99"/>
    <w:semiHidden/>
    <w:unhideWhenUsed/>
    <w:rsid w:val="00760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96"/>
    <w:rPr>
      <w:rFonts w:ascii="Segoe UI" w:hAnsi="Segoe UI" w:cs="Segoe UI"/>
      <w:sz w:val="18"/>
      <w:szCs w:val="18"/>
    </w:rPr>
  </w:style>
  <w:style w:type="character" w:styleId="FollowedHyperlink">
    <w:name w:val="FollowedHyperlink"/>
    <w:basedOn w:val="DefaultParagraphFont"/>
    <w:uiPriority w:val="99"/>
    <w:semiHidden/>
    <w:unhideWhenUsed/>
    <w:rsid w:val="005B6421"/>
    <w:rPr>
      <w:color w:val="954F72" w:themeColor="followedHyperlink"/>
      <w:u w:val="single"/>
    </w:rPr>
  </w:style>
  <w:style w:type="character" w:customStyle="1" w:styleId="tx2">
    <w:name w:val="tx2"/>
    <w:basedOn w:val="DefaultParagraphFont"/>
    <w:rsid w:val="00BC54C3"/>
  </w:style>
  <w:style w:type="character" w:customStyle="1" w:styleId="highlight">
    <w:name w:val="highlight"/>
    <w:basedOn w:val="DefaultParagraphFont"/>
    <w:rsid w:val="00BC54C3"/>
  </w:style>
  <w:style w:type="character" w:customStyle="1" w:styleId="jrnl">
    <w:name w:val="jrnl"/>
    <w:basedOn w:val="DefaultParagraphFont"/>
    <w:rsid w:val="00BC54C3"/>
  </w:style>
  <w:style w:type="character" w:customStyle="1" w:styleId="doilink">
    <w:name w:val="doi_link"/>
    <w:basedOn w:val="DefaultParagraphFont"/>
    <w:rsid w:val="00BC54C3"/>
  </w:style>
  <w:style w:type="character" w:customStyle="1" w:styleId="Heading3Char">
    <w:name w:val="Heading 3 Char"/>
    <w:basedOn w:val="DefaultParagraphFont"/>
    <w:link w:val="Heading3"/>
    <w:uiPriority w:val="9"/>
    <w:rsid w:val="00D76139"/>
    <w:rPr>
      <w:rFonts w:ascii="Cambria" w:eastAsia="Times New Roman" w:hAnsi="Cambria" w:cs="Times New Roman"/>
      <w:b/>
      <w:bCs/>
      <w:color w:val="4F81BD"/>
    </w:rPr>
  </w:style>
  <w:style w:type="table" w:customStyle="1" w:styleId="GridTable6Colorful-Accent61">
    <w:name w:val="Grid Table 6 Colorful - Accent 61"/>
    <w:basedOn w:val="TableNormal"/>
    <w:uiPriority w:val="51"/>
    <w:rsid w:val="007A0C9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56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60B39"/>
    <w:rPr>
      <w:rFonts w:asciiTheme="majorHAnsi" w:eastAsiaTheme="majorEastAsia" w:hAnsiTheme="majorHAnsi" w:cstheme="majorBidi"/>
      <w:i/>
      <w:iCs/>
      <w:color w:val="2E74B5" w:themeColor="accent1" w:themeShade="BF"/>
    </w:rPr>
  </w:style>
  <w:style w:type="paragraph" w:styleId="NoSpacing">
    <w:name w:val="No Spacing"/>
    <w:uiPriority w:val="1"/>
    <w:qFormat/>
    <w:rsid w:val="00353559"/>
    <w:pPr>
      <w:spacing w:after="0" w:line="240" w:lineRule="auto"/>
    </w:pPr>
  </w:style>
  <w:style w:type="paragraph" w:styleId="NormalWeb">
    <w:name w:val="Normal (Web)"/>
    <w:basedOn w:val="Normal"/>
    <w:uiPriority w:val="99"/>
    <w:unhideWhenUsed/>
    <w:rsid w:val="0019404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4B30"/>
    <w:pPr>
      <w:spacing w:after="0" w:line="240" w:lineRule="auto"/>
    </w:pPr>
  </w:style>
  <w:style w:type="character" w:styleId="LineNumber">
    <w:name w:val="line number"/>
    <w:basedOn w:val="DefaultParagraphFont"/>
    <w:uiPriority w:val="99"/>
    <w:semiHidden/>
    <w:unhideWhenUsed/>
    <w:rsid w:val="005E1728"/>
  </w:style>
  <w:style w:type="paragraph" w:styleId="Header">
    <w:name w:val="header"/>
    <w:basedOn w:val="Normal"/>
    <w:link w:val="HeaderChar"/>
    <w:uiPriority w:val="99"/>
    <w:unhideWhenUsed/>
    <w:rsid w:val="001F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77"/>
  </w:style>
  <w:style w:type="paragraph" w:styleId="Footer">
    <w:name w:val="footer"/>
    <w:basedOn w:val="Normal"/>
    <w:link w:val="FooterChar"/>
    <w:uiPriority w:val="99"/>
    <w:unhideWhenUsed/>
    <w:rsid w:val="001F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77"/>
  </w:style>
  <w:style w:type="paragraph" w:styleId="Bibliography">
    <w:name w:val="Bibliography"/>
    <w:basedOn w:val="Normal"/>
    <w:next w:val="Normal"/>
    <w:uiPriority w:val="37"/>
    <w:semiHidden/>
    <w:unhideWhenUsed/>
    <w:rsid w:val="005E001A"/>
  </w:style>
  <w:style w:type="paragraph" w:customStyle="1" w:styleId="EndNoteBibliographyTitle">
    <w:name w:val="EndNote Bibliography Title"/>
    <w:basedOn w:val="Normal"/>
    <w:link w:val="EndNoteBibliographyTitleChar"/>
    <w:rsid w:val="00A939E9"/>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A939E9"/>
    <w:rPr>
      <w:rFonts w:ascii="Calibri" w:hAnsi="Calibri" w:cs="Times New Roman"/>
    </w:rPr>
  </w:style>
  <w:style w:type="character" w:customStyle="1" w:styleId="EndNoteBibliographyTitleChar">
    <w:name w:val="EndNote Bibliography Title Char"/>
    <w:basedOn w:val="ListParagraphChar"/>
    <w:link w:val="EndNoteBibliographyTitle"/>
    <w:rsid w:val="00A939E9"/>
    <w:rPr>
      <w:rFonts w:ascii="Calibri" w:hAnsi="Calibri" w:cs="Calibri"/>
      <w:noProof/>
    </w:rPr>
  </w:style>
  <w:style w:type="paragraph" w:customStyle="1" w:styleId="EndNoteBibliography">
    <w:name w:val="EndNote Bibliography"/>
    <w:basedOn w:val="Normal"/>
    <w:link w:val="EndNoteBibliographyChar"/>
    <w:rsid w:val="00A939E9"/>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A939E9"/>
    <w:rPr>
      <w:rFonts w:ascii="Calibri" w:hAnsi="Calibri" w:cs="Calibri"/>
      <w:noProof/>
    </w:rPr>
  </w:style>
  <w:style w:type="character" w:customStyle="1" w:styleId="Heading1Char">
    <w:name w:val="Heading 1 Char"/>
    <w:basedOn w:val="DefaultParagraphFont"/>
    <w:link w:val="Heading1"/>
    <w:uiPriority w:val="9"/>
    <w:rsid w:val="00BA2D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470">
      <w:bodyDiv w:val="1"/>
      <w:marLeft w:val="0"/>
      <w:marRight w:val="0"/>
      <w:marTop w:val="0"/>
      <w:marBottom w:val="0"/>
      <w:divBdr>
        <w:top w:val="none" w:sz="0" w:space="0" w:color="auto"/>
        <w:left w:val="none" w:sz="0" w:space="0" w:color="auto"/>
        <w:bottom w:val="none" w:sz="0" w:space="0" w:color="auto"/>
        <w:right w:val="none" w:sz="0" w:space="0" w:color="auto"/>
      </w:divBdr>
      <w:divsChild>
        <w:div w:id="1264461723">
          <w:marLeft w:val="0"/>
          <w:marRight w:val="0"/>
          <w:marTop w:val="0"/>
          <w:marBottom w:val="0"/>
          <w:divBdr>
            <w:top w:val="none" w:sz="0" w:space="0" w:color="auto"/>
            <w:left w:val="none" w:sz="0" w:space="0" w:color="auto"/>
            <w:bottom w:val="none" w:sz="0" w:space="0" w:color="auto"/>
            <w:right w:val="none" w:sz="0" w:space="0" w:color="auto"/>
          </w:divBdr>
          <w:divsChild>
            <w:div w:id="1954971522">
              <w:marLeft w:val="3300"/>
              <w:marRight w:val="0"/>
              <w:marTop w:val="0"/>
              <w:marBottom w:val="0"/>
              <w:divBdr>
                <w:top w:val="none" w:sz="0" w:space="0" w:color="auto"/>
                <w:left w:val="none" w:sz="0" w:space="0" w:color="auto"/>
                <w:bottom w:val="none" w:sz="0" w:space="0" w:color="auto"/>
                <w:right w:val="none" w:sz="0" w:space="0" w:color="auto"/>
              </w:divBdr>
              <w:divsChild>
                <w:div w:id="1064062834">
                  <w:marLeft w:val="0"/>
                  <w:marRight w:val="0"/>
                  <w:marTop w:val="0"/>
                  <w:marBottom w:val="0"/>
                  <w:divBdr>
                    <w:top w:val="none" w:sz="0" w:space="0" w:color="auto"/>
                    <w:left w:val="none" w:sz="0" w:space="0" w:color="auto"/>
                    <w:bottom w:val="none" w:sz="0" w:space="0" w:color="auto"/>
                    <w:right w:val="none" w:sz="0" w:space="0" w:color="auto"/>
                  </w:divBdr>
                  <w:divsChild>
                    <w:div w:id="1942564018">
                      <w:marLeft w:val="0"/>
                      <w:marRight w:val="0"/>
                      <w:marTop w:val="0"/>
                      <w:marBottom w:val="0"/>
                      <w:divBdr>
                        <w:top w:val="none" w:sz="0" w:space="0" w:color="auto"/>
                        <w:left w:val="none" w:sz="0" w:space="0" w:color="auto"/>
                        <w:bottom w:val="none" w:sz="0" w:space="0" w:color="auto"/>
                        <w:right w:val="none" w:sz="0" w:space="0" w:color="auto"/>
                      </w:divBdr>
                      <w:divsChild>
                        <w:div w:id="1643080111">
                          <w:marLeft w:val="0"/>
                          <w:marRight w:val="0"/>
                          <w:marTop w:val="0"/>
                          <w:marBottom w:val="300"/>
                          <w:divBdr>
                            <w:top w:val="single" w:sz="12" w:space="0" w:color="E5E5E5"/>
                            <w:left w:val="none" w:sz="0" w:space="0" w:color="auto"/>
                            <w:bottom w:val="none" w:sz="0" w:space="0" w:color="auto"/>
                            <w:right w:val="none" w:sz="0" w:space="0" w:color="auto"/>
                          </w:divBdr>
                          <w:divsChild>
                            <w:div w:id="699815070">
                              <w:marLeft w:val="0"/>
                              <w:marRight w:val="0"/>
                              <w:marTop w:val="0"/>
                              <w:marBottom w:val="0"/>
                              <w:divBdr>
                                <w:top w:val="none" w:sz="0" w:space="0" w:color="auto"/>
                                <w:left w:val="none" w:sz="0" w:space="0" w:color="auto"/>
                                <w:bottom w:val="none" w:sz="0" w:space="0" w:color="auto"/>
                                <w:right w:val="none" w:sz="0" w:space="0" w:color="auto"/>
                              </w:divBdr>
                              <w:divsChild>
                                <w:div w:id="17541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49522">
      <w:bodyDiv w:val="1"/>
      <w:marLeft w:val="0"/>
      <w:marRight w:val="0"/>
      <w:marTop w:val="0"/>
      <w:marBottom w:val="0"/>
      <w:divBdr>
        <w:top w:val="none" w:sz="0" w:space="0" w:color="auto"/>
        <w:left w:val="none" w:sz="0" w:space="0" w:color="auto"/>
        <w:bottom w:val="none" w:sz="0" w:space="0" w:color="auto"/>
        <w:right w:val="none" w:sz="0" w:space="0" w:color="auto"/>
      </w:divBdr>
    </w:div>
    <w:div w:id="568615709">
      <w:bodyDiv w:val="1"/>
      <w:marLeft w:val="0"/>
      <w:marRight w:val="0"/>
      <w:marTop w:val="0"/>
      <w:marBottom w:val="0"/>
      <w:divBdr>
        <w:top w:val="none" w:sz="0" w:space="0" w:color="auto"/>
        <w:left w:val="none" w:sz="0" w:space="0" w:color="auto"/>
        <w:bottom w:val="none" w:sz="0" w:space="0" w:color="auto"/>
        <w:right w:val="none" w:sz="0" w:space="0" w:color="auto"/>
      </w:divBdr>
      <w:divsChild>
        <w:div w:id="983042950">
          <w:marLeft w:val="0"/>
          <w:marRight w:val="1"/>
          <w:marTop w:val="0"/>
          <w:marBottom w:val="0"/>
          <w:divBdr>
            <w:top w:val="none" w:sz="0" w:space="0" w:color="auto"/>
            <w:left w:val="none" w:sz="0" w:space="0" w:color="auto"/>
            <w:bottom w:val="none" w:sz="0" w:space="0" w:color="auto"/>
            <w:right w:val="none" w:sz="0" w:space="0" w:color="auto"/>
          </w:divBdr>
          <w:divsChild>
            <w:div w:id="355276049">
              <w:marLeft w:val="0"/>
              <w:marRight w:val="0"/>
              <w:marTop w:val="0"/>
              <w:marBottom w:val="0"/>
              <w:divBdr>
                <w:top w:val="none" w:sz="0" w:space="0" w:color="auto"/>
                <w:left w:val="none" w:sz="0" w:space="0" w:color="auto"/>
                <w:bottom w:val="none" w:sz="0" w:space="0" w:color="auto"/>
                <w:right w:val="none" w:sz="0" w:space="0" w:color="auto"/>
              </w:divBdr>
              <w:divsChild>
                <w:div w:id="1140146955">
                  <w:marLeft w:val="0"/>
                  <w:marRight w:val="1"/>
                  <w:marTop w:val="0"/>
                  <w:marBottom w:val="0"/>
                  <w:divBdr>
                    <w:top w:val="none" w:sz="0" w:space="0" w:color="auto"/>
                    <w:left w:val="none" w:sz="0" w:space="0" w:color="auto"/>
                    <w:bottom w:val="none" w:sz="0" w:space="0" w:color="auto"/>
                    <w:right w:val="none" w:sz="0" w:space="0" w:color="auto"/>
                  </w:divBdr>
                  <w:divsChild>
                    <w:div w:id="908536546">
                      <w:marLeft w:val="0"/>
                      <w:marRight w:val="0"/>
                      <w:marTop w:val="0"/>
                      <w:marBottom w:val="0"/>
                      <w:divBdr>
                        <w:top w:val="none" w:sz="0" w:space="0" w:color="auto"/>
                        <w:left w:val="none" w:sz="0" w:space="0" w:color="auto"/>
                        <w:bottom w:val="none" w:sz="0" w:space="0" w:color="auto"/>
                        <w:right w:val="none" w:sz="0" w:space="0" w:color="auto"/>
                      </w:divBdr>
                      <w:divsChild>
                        <w:div w:id="1805544610">
                          <w:marLeft w:val="0"/>
                          <w:marRight w:val="0"/>
                          <w:marTop w:val="0"/>
                          <w:marBottom w:val="0"/>
                          <w:divBdr>
                            <w:top w:val="none" w:sz="0" w:space="0" w:color="auto"/>
                            <w:left w:val="none" w:sz="0" w:space="0" w:color="auto"/>
                            <w:bottom w:val="none" w:sz="0" w:space="0" w:color="auto"/>
                            <w:right w:val="none" w:sz="0" w:space="0" w:color="auto"/>
                          </w:divBdr>
                          <w:divsChild>
                            <w:div w:id="777262004">
                              <w:marLeft w:val="0"/>
                              <w:marRight w:val="0"/>
                              <w:marTop w:val="120"/>
                              <w:marBottom w:val="360"/>
                              <w:divBdr>
                                <w:top w:val="none" w:sz="0" w:space="0" w:color="auto"/>
                                <w:left w:val="none" w:sz="0" w:space="0" w:color="auto"/>
                                <w:bottom w:val="none" w:sz="0" w:space="0" w:color="auto"/>
                                <w:right w:val="none" w:sz="0" w:space="0" w:color="auto"/>
                              </w:divBdr>
                              <w:divsChild>
                                <w:div w:id="1711420117">
                                  <w:marLeft w:val="0"/>
                                  <w:marRight w:val="0"/>
                                  <w:marTop w:val="0"/>
                                  <w:marBottom w:val="0"/>
                                  <w:divBdr>
                                    <w:top w:val="none" w:sz="0" w:space="0" w:color="auto"/>
                                    <w:left w:val="none" w:sz="0" w:space="0" w:color="auto"/>
                                    <w:bottom w:val="none" w:sz="0" w:space="0" w:color="auto"/>
                                    <w:right w:val="none" w:sz="0" w:space="0" w:color="auto"/>
                                  </w:divBdr>
                                  <w:divsChild>
                                    <w:div w:id="1724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617592">
      <w:bodyDiv w:val="1"/>
      <w:marLeft w:val="0"/>
      <w:marRight w:val="0"/>
      <w:marTop w:val="0"/>
      <w:marBottom w:val="0"/>
      <w:divBdr>
        <w:top w:val="none" w:sz="0" w:space="0" w:color="auto"/>
        <w:left w:val="none" w:sz="0" w:space="0" w:color="auto"/>
        <w:bottom w:val="none" w:sz="0" w:space="0" w:color="auto"/>
        <w:right w:val="none" w:sz="0" w:space="0" w:color="auto"/>
      </w:divBdr>
    </w:div>
    <w:div w:id="932127985">
      <w:bodyDiv w:val="1"/>
      <w:marLeft w:val="0"/>
      <w:marRight w:val="0"/>
      <w:marTop w:val="0"/>
      <w:marBottom w:val="0"/>
      <w:divBdr>
        <w:top w:val="none" w:sz="0" w:space="0" w:color="auto"/>
        <w:left w:val="none" w:sz="0" w:space="0" w:color="auto"/>
        <w:bottom w:val="none" w:sz="0" w:space="0" w:color="auto"/>
        <w:right w:val="none" w:sz="0" w:space="0" w:color="auto"/>
      </w:divBdr>
      <w:divsChild>
        <w:div w:id="1789397945">
          <w:marLeft w:val="0"/>
          <w:marRight w:val="0"/>
          <w:marTop w:val="0"/>
          <w:marBottom w:val="0"/>
          <w:divBdr>
            <w:top w:val="none" w:sz="0" w:space="0" w:color="auto"/>
            <w:left w:val="none" w:sz="0" w:space="0" w:color="auto"/>
            <w:bottom w:val="none" w:sz="0" w:space="0" w:color="auto"/>
            <w:right w:val="none" w:sz="0" w:space="0" w:color="auto"/>
          </w:divBdr>
          <w:divsChild>
            <w:div w:id="268588434">
              <w:marLeft w:val="3300"/>
              <w:marRight w:val="0"/>
              <w:marTop w:val="0"/>
              <w:marBottom w:val="0"/>
              <w:divBdr>
                <w:top w:val="none" w:sz="0" w:space="0" w:color="auto"/>
                <w:left w:val="none" w:sz="0" w:space="0" w:color="auto"/>
                <w:bottom w:val="none" w:sz="0" w:space="0" w:color="auto"/>
                <w:right w:val="none" w:sz="0" w:space="0" w:color="auto"/>
              </w:divBdr>
              <w:divsChild>
                <w:div w:id="56974396">
                  <w:marLeft w:val="0"/>
                  <w:marRight w:val="0"/>
                  <w:marTop w:val="0"/>
                  <w:marBottom w:val="0"/>
                  <w:divBdr>
                    <w:top w:val="none" w:sz="0" w:space="0" w:color="auto"/>
                    <w:left w:val="none" w:sz="0" w:space="0" w:color="auto"/>
                    <w:bottom w:val="none" w:sz="0" w:space="0" w:color="auto"/>
                    <w:right w:val="none" w:sz="0" w:space="0" w:color="auto"/>
                  </w:divBdr>
                  <w:divsChild>
                    <w:div w:id="567568395">
                      <w:marLeft w:val="0"/>
                      <w:marRight w:val="0"/>
                      <w:marTop w:val="0"/>
                      <w:marBottom w:val="300"/>
                      <w:divBdr>
                        <w:top w:val="single" w:sz="12" w:space="0" w:color="E5E5E5"/>
                        <w:left w:val="none" w:sz="0" w:space="0" w:color="auto"/>
                        <w:bottom w:val="none" w:sz="0" w:space="0" w:color="auto"/>
                        <w:right w:val="none" w:sz="0" w:space="0" w:color="auto"/>
                      </w:divBdr>
                      <w:divsChild>
                        <w:div w:id="1531453800">
                          <w:marLeft w:val="0"/>
                          <w:marRight w:val="0"/>
                          <w:marTop w:val="0"/>
                          <w:marBottom w:val="0"/>
                          <w:divBdr>
                            <w:top w:val="none" w:sz="0" w:space="0" w:color="auto"/>
                            <w:left w:val="none" w:sz="0" w:space="0" w:color="auto"/>
                            <w:bottom w:val="none" w:sz="0" w:space="0" w:color="auto"/>
                            <w:right w:val="none" w:sz="0" w:space="0" w:color="auto"/>
                          </w:divBdr>
                          <w:divsChild>
                            <w:div w:id="18631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10431">
      <w:bodyDiv w:val="1"/>
      <w:marLeft w:val="0"/>
      <w:marRight w:val="0"/>
      <w:marTop w:val="0"/>
      <w:marBottom w:val="0"/>
      <w:divBdr>
        <w:top w:val="none" w:sz="0" w:space="0" w:color="auto"/>
        <w:left w:val="none" w:sz="0" w:space="0" w:color="auto"/>
        <w:bottom w:val="none" w:sz="0" w:space="0" w:color="auto"/>
        <w:right w:val="none" w:sz="0" w:space="0" w:color="auto"/>
      </w:divBdr>
    </w:div>
    <w:div w:id="1936748240">
      <w:bodyDiv w:val="1"/>
      <w:marLeft w:val="0"/>
      <w:marRight w:val="0"/>
      <w:marTop w:val="0"/>
      <w:marBottom w:val="0"/>
      <w:divBdr>
        <w:top w:val="none" w:sz="0" w:space="0" w:color="auto"/>
        <w:left w:val="none" w:sz="0" w:space="0" w:color="auto"/>
        <w:bottom w:val="none" w:sz="0" w:space="0" w:color="auto"/>
        <w:right w:val="none" w:sz="0" w:space="0" w:color="auto"/>
      </w:divBdr>
      <w:divsChild>
        <w:div w:id="1216552518">
          <w:marLeft w:val="0"/>
          <w:marRight w:val="0"/>
          <w:marTop w:val="0"/>
          <w:marBottom w:val="0"/>
          <w:divBdr>
            <w:top w:val="none" w:sz="0" w:space="0" w:color="auto"/>
            <w:left w:val="none" w:sz="0" w:space="0" w:color="auto"/>
            <w:bottom w:val="none" w:sz="0" w:space="0" w:color="auto"/>
            <w:right w:val="none" w:sz="0" w:space="0" w:color="auto"/>
          </w:divBdr>
          <w:divsChild>
            <w:div w:id="1292521639">
              <w:marLeft w:val="3300"/>
              <w:marRight w:val="0"/>
              <w:marTop w:val="0"/>
              <w:marBottom w:val="0"/>
              <w:divBdr>
                <w:top w:val="none" w:sz="0" w:space="0" w:color="auto"/>
                <w:left w:val="none" w:sz="0" w:space="0" w:color="auto"/>
                <w:bottom w:val="none" w:sz="0" w:space="0" w:color="auto"/>
                <w:right w:val="none" w:sz="0" w:space="0" w:color="auto"/>
              </w:divBdr>
              <w:divsChild>
                <w:div w:id="1237134204">
                  <w:marLeft w:val="0"/>
                  <w:marRight w:val="0"/>
                  <w:marTop w:val="0"/>
                  <w:marBottom w:val="0"/>
                  <w:divBdr>
                    <w:top w:val="none" w:sz="0" w:space="0" w:color="auto"/>
                    <w:left w:val="none" w:sz="0" w:space="0" w:color="auto"/>
                    <w:bottom w:val="none" w:sz="0" w:space="0" w:color="auto"/>
                    <w:right w:val="none" w:sz="0" w:space="0" w:color="auto"/>
                  </w:divBdr>
                  <w:divsChild>
                    <w:div w:id="1680506143">
                      <w:marLeft w:val="0"/>
                      <w:marRight w:val="0"/>
                      <w:marTop w:val="0"/>
                      <w:marBottom w:val="0"/>
                      <w:divBdr>
                        <w:top w:val="none" w:sz="0" w:space="0" w:color="auto"/>
                        <w:left w:val="none" w:sz="0" w:space="0" w:color="auto"/>
                        <w:bottom w:val="none" w:sz="0" w:space="0" w:color="auto"/>
                        <w:right w:val="none" w:sz="0" w:space="0" w:color="auto"/>
                      </w:divBdr>
                      <w:divsChild>
                        <w:div w:id="1616205939">
                          <w:marLeft w:val="0"/>
                          <w:marRight w:val="0"/>
                          <w:marTop w:val="0"/>
                          <w:marBottom w:val="300"/>
                          <w:divBdr>
                            <w:top w:val="single" w:sz="12" w:space="0" w:color="E5E5E5"/>
                            <w:left w:val="none" w:sz="0" w:space="0" w:color="auto"/>
                            <w:bottom w:val="none" w:sz="0" w:space="0" w:color="auto"/>
                            <w:right w:val="none" w:sz="0" w:space="0" w:color="auto"/>
                          </w:divBdr>
                          <w:divsChild>
                            <w:div w:id="1362705128">
                              <w:marLeft w:val="0"/>
                              <w:marRight w:val="0"/>
                              <w:marTop w:val="0"/>
                              <w:marBottom w:val="0"/>
                              <w:divBdr>
                                <w:top w:val="none" w:sz="0" w:space="0" w:color="auto"/>
                                <w:left w:val="none" w:sz="0" w:space="0" w:color="auto"/>
                                <w:bottom w:val="none" w:sz="0" w:space="0" w:color="auto"/>
                                <w:right w:val="none" w:sz="0" w:space="0" w:color="auto"/>
                              </w:divBdr>
                              <w:divsChild>
                                <w:div w:id="12704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02096">
      <w:bodyDiv w:val="1"/>
      <w:marLeft w:val="0"/>
      <w:marRight w:val="0"/>
      <w:marTop w:val="0"/>
      <w:marBottom w:val="0"/>
      <w:divBdr>
        <w:top w:val="none" w:sz="0" w:space="0" w:color="auto"/>
        <w:left w:val="none" w:sz="0" w:space="0" w:color="auto"/>
        <w:bottom w:val="none" w:sz="0" w:space="0" w:color="auto"/>
        <w:right w:val="none" w:sz="0" w:space="0" w:color="auto"/>
      </w:divBdr>
      <w:divsChild>
        <w:div w:id="117140004">
          <w:marLeft w:val="0"/>
          <w:marRight w:val="1"/>
          <w:marTop w:val="0"/>
          <w:marBottom w:val="0"/>
          <w:divBdr>
            <w:top w:val="none" w:sz="0" w:space="0" w:color="auto"/>
            <w:left w:val="none" w:sz="0" w:space="0" w:color="auto"/>
            <w:bottom w:val="none" w:sz="0" w:space="0" w:color="auto"/>
            <w:right w:val="none" w:sz="0" w:space="0" w:color="auto"/>
          </w:divBdr>
          <w:divsChild>
            <w:div w:id="991105149">
              <w:marLeft w:val="0"/>
              <w:marRight w:val="0"/>
              <w:marTop w:val="0"/>
              <w:marBottom w:val="0"/>
              <w:divBdr>
                <w:top w:val="none" w:sz="0" w:space="0" w:color="auto"/>
                <w:left w:val="none" w:sz="0" w:space="0" w:color="auto"/>
                <w:bottom w:val="none" w:sz="0" w:space="0" w:color="auto"/>
                <w:right w:val="none" w:sz="0" w:space="0" w:color="auto"/>
              </w:divBdr>
              <w:divsChild>
                <w:div w:id="1180042952">
                  <w:marLeft w:val="0"/>
                  <w:marRight w:val="1"/>
                  <w:marTop w:val="0"/>
                  <w:marBottom w:val="0"/>
                  <w:divBdr>
                    <w:top w:val="none" w:sz="0" w:space="0" w:color="auto"/>
                    <w:left w:val="none" w:sz="0" w:space="0" w:color="auto"/>
                    <w:bottom w:val="none" w:sz="0" w:space="0" w:color="auto"/>
                    <w:right w:val="none" w:sz="0" w:space="0" w:color="auto"/>
                  </w:divBdr>
                  <w:divsChild>
                    <w:div w:id="1635521005">
                      <w:marLeft w:val="0"/>
                      <w:marRight w:val="0"/>
                      <w:marTop w:val="0"/>
                      <w:marBottom w:val="0"/>
                      <w:divBdr>
                        <w:top w:val="none" w:sz="0" w:space="0" w:color="auto"/>
                        <w:left w:val="none" w:sz="0" w:space="0" w:color="auto"/>
                        <w:bottom w:val="none" w:sz="0" w:space="0" w:color="auto"/>
                        <w:right w:val="none" w:sz="0" w:space="0" w:color="auto"/>
                      </w:divBdr>
                      <w:divsChild>
                        <w:div w:id="1005089209">
                          <w:marLeft w:val="0"/>
                          <w:marRight w:val="0"/>
                          <w:marTop w:val="0"/>
                          <w:marBottom w:val="0"/>
                          <w:divBdr>
                            <w:top w:val="none" w:sz="0" w:space="0" w:color="auto"/>
                            <w:left w:val="none" w:sz="0" w:space="0" w:color="auto"/>
                            <w:bottom w:val="none" w:sz="0" w:space="0" w:color="auto"/>
                            <w:right w:val="none" w:sz="0" w:space="0" w:color="auto"/>
                          </w:divBdr>
                          <w:divsChild>
                            <w:div w:id="1067803950">
                              <w:marLeft w:val="0"/>
                              <w:marRight w:val="0"/>
                              <w:marTop w:val="120"/>
                              <w:marBottom w:val="360"/>
                              <w:divBdr>
                                <w:top w:val="none" w:sz="0" w:space="0" w:color="auto"/>
                                <w:left w:val="none" w:sz="0" w:space="0" w:color="auto"/>
                                <w:bottom w:val="none" w:sz="0" w:space="0" w:color="auto"/>
                                <w:right w:val="none" w:sz="0" w:space="0" w:color="auto"/>
                              </w:divBdr>
                              <w:divsChild>
                                <w:div w:id="182598064">
                                  <w:marLeft w:val="0"/>
                                  <w:marRight w:val="0"/>
                                  <w:marTop w:val="0"/>
                                  <w:marBottom w:val="0"/>
                                  <w:divBdr>
                                    <w:top w:val="none" w:sz="0" w:space="0" w:color="auto"/>
                                    <w:left w:val="none" w:sz="0" w:space="0" w:color="auto"/>
                                    <w:bottom w:val="none" w:sz="0" w:space="0" w:color="auto"/>
                                    <w:right w:val="none" w:sz="0" w:space="0" w:color="auto"/>
                                  </w:divBdr>
                                  <w:divsChild>
                                    <w:div w:id="4168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meetings/project/15898" TargetMode="External"/><Relationship Id="rId13" Type="http://schemas.openxmlformats.org/officeDocument/2006/relationships/hyperlink" Target="https://agingstats.gov/docs/LatestReport/Older-Americans-2016-Key-Indicators-of-WellBeing.pdf" TargetMode="External"/><Relationship Id="rId18" Type="http://schemas.openxmlformats.org/officeDocument/2006/relationships/hyperlink" Target="https://www.ers.usda.gov/media/8282/short2012.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eedingamerica.org/research/senior-hunger-research/state-of-senior-hunger-2015.pdf" TargetMode="External"/><Relationship Id="rId7" Type="http://schemas.openxmlformats.org/officeDocument/2006/relationships/endnotes" Target="endnotes.xml"/><Relationship Id="rId12" Type="http://schemas.openxmlformats.org/officeDocument/2006/relationships/hyperlink" Target="http://www.cdc.gov/nchs/data/ad/ad395.pdf" TargetMode="External"/><Relationship Id="rId17" Type="http://schemas.openxmlformats.org/officeDocument/2006/relationships/hyperlink" Target="http://www.choosemyplate.gov/food-group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mericashealthrankings.org/learn/reports/2017-senior-report/executive-summary" TargetMode="External"/><Relationship Id="rId20" Type="http://schemas.openxmlformats.org/officeDocument/2006/relationships/hyperlink" Target="https://www.healthypeople.gov/2020/topics-objectives/topic/older-adul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ing.senate.gov/imo/media/doc/SCA_Berkowitz_7_12_17.pdf" TargetMode="External"/><Relationship Id="rId24" Type="http://schemas.openxmlformats.org/officeDocument/2006/relationships/footer" Target="foot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aarp.org/content/dam/aarp/aarp_foundation/2015-PDFs/AF-Food-Insecurity-2015Update-Final-Report.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cl.gov/sites/default/files/Aging%20and%20Disability%20in%20America/2017OlderAmericansProfile.pdf" TargetMode="External"/><Relationship Id="rId19" Type="http://schemas.openxmlformats.org/officeDocument/2006/relationships/hyperlink" Target="https://www.ers.usda.gov/data-products/state-fact-sheets/" TargetMode="External"/><Relationship Id="rId4" Type="http://schemas.openxmlformats.org/officeDocument/2006/relationships/settings" Target="settings.xml"/><Relationship Id="rId9" Type="http://schemas.openxmlformats.org/officeDocument/2006/relationships/hyperlink" Target="https://www.extension.iastate.edu/humansciences/stay-independent" TargetMode="External"/><Relationship Id="rId14" Type="http://schemas.openxmlformats.org/officeDocument/2006/relationships/hyperlink" Target="https://doi.org/10.1080/21551197.2018.152480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C1F8-C53D-4E8A-BFCB-64FE77B2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9764</Words>
  <Characters>55656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2019-02-20T21:19:00Z</dcterms:created>
  <dcterms:modified xsi:type="dcterms:W3CDTF">2019-02-20T21:19:00Z</dcterms:modified>
</cp:coreProperties>
</file>