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C" w:rsidRPr="00812788" w:rsidRDefault="00F57984" w:rsidP="0081278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NE_TEMP2143: Changing Health Trajectory for Older Adults through Effective Diet and Activity Modifications</w:t>
      </w:r>
    </w:p>
    <w:p w:rsidR="008B3F18" w:rsidRPr="00812788" w:rsidRDefault="008B3F18" w:rsidP="008B3F18">
      <w:pPr>
        <w:rPr>
          <w:rFonts w:ascii="Times New Roman" w:hAnsi="Times New Roman"/>
          <w:sz w:val="18"/>
          <w:szCs w:val="18"/>
        </w:rPr>
      </w:pPr>
    </w:p>
    <w:p w:rsidR="002A4E5B" w:rsidRPr="00E12F10" w:rsidRDefault="00A836CE" w:rsidP="000F2734">
      <w:pPr>
        <w:rPr>
          <w:rFonts w:ascii="Times New Roman" w:hAnsi="Times New Roman"/>
          <w:sz w:val="20"/>
        </w:rPr>
      </w:pPr>
      <w:r w:rsidRPr="00E12F10">
        <w:rPr>
          <w:rFonts w:ascii="Times New Roman" w:hAnsi="Times New Roman"/>
          <w:b/>
          <w:sz w:val="20"/>
        </w:rPr>
        <w:t>Situation:</w:t>
      </w:r>
      <w:r w:rsidR="008B3F18" w:rsidRPr="00E12F10">
        <w:rPr>
          <w:rFonts w:ascii="Times New Roman" w:hAnsi="Times New Roman"/>
          <w:b/>
          <w:sz w:val="20"/>
        </w:rPr>
        <w:t xml:space="preserve">  </w:t>
      </w:r>
      <w:r w:rsidR="00E12F10" w:rsidRPr="00E12F10">
        <w:rPr>
          <w:rFonts w:ascii="Times New Roman" w:hAnsi="Times New Roman"/>
          <w:sz w:val="20"/>
        </w:rPr>
        <w:t>Midlife and older adults comprise the fastest growing population segment in the US. Baby boomers, who make-</w:t>
      </w:r>
      <w:proofErr w:type="gramStart"/>
      <w:r w:rsidR="00E12F10" w:rsidRPr="00E12F10">
        <w:rPr>
          <w:rFonts w:ascii="Times New Roman" w:hAnsi="Times New Roman"/>
          <w:sz w:val="20"/>
        </w:rPr>
        <w:t>up  much</w:t>
      </w:r>
      <w:proofErr w:type="gramEnd"/>
      <w:r w:rsidR="00E12F10" w:rsidRPr="00E12F10">
        <w:rPr>
          <w:rFonts w:ascii="Times New Roman" w:hAnsi="Times New Roman"/>
          <w:sz w:val="20"/>
        </w:rPr>
        <w:t xml:space="preserve"> of this population shift, have higher rates of obesity, chronic disease and disabilities than previous generations. Older adults are at higher risk for developing arthritis, sarcopenia, diabetes, hypertension, hypercholesterolemia, age-related macular degeneration (AMD), and cardiovascular disease (CVD) </w:t>
      </w:r>
      <w:r w:rsidR="00E12F10" w:rsidRPr="00E12F10">
        <w:rPr>
          <w:rFonts w:ascii="Times New Roman" w:hAnsi="Times New Roman"/>
          <w:color w:val="0D0D0D"/>
          <w:sz w:val="20"/>
        </w:rPr>
        <w:t xml:space="preserve">than younger adults. </w:t>
      </w:r>
      <w:proofErr w:type="gramStart"/>
      <w:r w:rsidR="00E12F10" w:rsidRPr="00E12F10">
        <w:rPr>
          <w:rFonts w:ascii="Times New Roman" w:hAnsi="Times New Roman"/>
          <w:color w:val="0D0D0D"/>
          <w:sz w:val="20"/>
        </w:rPr>
        <w:t>These</w:t>
      </w:r>
      <w:proofErr w:type="gramEnd"/>
      <w:r w:rsidR="00E12F10" w:rsidRPr="00E12F10">
        <w:rPr>
          <w:rFonts w:ascii="Times New Roman" w:hAnsi="Times New Roman"/>
          <w:color w:val="0D0D0D"/>
          <w:sz w:val="20"/>
        </w:rPr>
        <w:t xml:space="preserve"> </w:t>
      </w:r>
      <w:r w:rsidR="00E12F10" w:rsidRPr="00E12F10">
        <w:rPr>
          <w:rFonts w:ascii="Times New Roman" w:hAnsi="Times New Roman"/>
          <w:sz w:val="20"/>
        </w:rPr>
        <w:t xml:space="preserve">conditions that are associated with disabilities, compromise physical capacity and loss of independence </w:t>
      </w:r>
      <w:r w:rsidR="00E12F10" w:rsidRPr="00E12F10">
        <w:rPr>
          <w:rFonts w:ascii="Times New Roman" w:hAnsi="Times New Roman"/>
          <w:color w:val="000000"/>
          <w:sz w:val="20"/>
        </w:rPr>
        <w:t xml:space="preserve">but are </w:t>
      </w:r>
      <w:r w:rsidR="00E12F10" w:rsidRPr="00E12F10">
        <w:rPr>
          <w:rFonts w:ascii="Times New Roman" w:hAnsi="Times New Roman"/>
          <w:sz w:val="20"/>
        </w:rPr>
        <w:t xml:space="preserve">preventable by diet or/and physical activity, providing the basis for the proposed work of this </w:t>
      </w:r>
      <w:proofErr w:type="spellStart"/>
      <w:r w:rsidR="00E12F10" w:rsidRPr="00E12F10">
        <w:rPr>
          <w:rFonts w:ascii="Times New Roman" w:hAnsi="Times New Roman"/>
          <w:sz w:val="20"/>
        </w:rPr>
        <w:t>transdisciplinary</w:t>
      </w:r>
      <w:proofErr w:type="spellEnd"/>
      <w:r w:rsidR="00E12F10" w:rsidRPr="00E12F10">
        <w:rPr>
          <w:rFonts w:ascii="Times New Roman" w:hAnsi="Times New Roman"/>
          <w:sz w:val="20"/>
        </w:rPr>
        <w:t xml:space="preserve"> team.   </w:t>
      </w:r>
      <w:r w:rsidR="00A46A35" w:rsidRPr="00E12F10">
        <w:rPr>
          <w:rFonts w:ascii="Times New Roman" w:hAnsi="Times New Roman"/>
          <w:sz w:val="20"/>
        </w:rPr>
        <w:t xml:space="preserve">Adults make daily choices without being aware of how that seemingly inconsequential decision may </w:t>
      </w:r>
      <w:proofErr w:type="gramStart"/>
      <w:r w:rsidR="00A46A35" w:rsidRPr="00E12F10">
        <w:rPr>
          <w:rFonts w:ascii="Times New Roman" w:hAnsi="Times New Roman"/>
          <w:sz w:val="20"/>
        </w:rPr>
        <w:t>impact</w:t>
      </w:r>
      <w:proofErr w:type="gramEnd"/>
      <w:r w:rsidR="00A46A35" w:rsidRPr="00E12F10">
        <w:rPr>
          <w:rFonts w:ascii="Times New Roman" w:hAnsi="Times New Roman"/>
          <w:sz w:val="20"/>
        </w:rPr>
        <w:t xml:space="preserve"> their health.  Numerous biological, environmental, and behavioral </w:t>
      </w:r>
      <w:r w:rsidR="00E12F10" w:rsidRPr="00E12F10">
        <w:rPr>
          <w:rFonts w:ascii="Times New Roman" w:hAnsi="Times New Roman"/>
          <w:sz w:val="20"/>
        </w:rPr>
        <w:t xml:space="preserve">risk factors </w:t>
      </w:r>
      <w:r w:rsidR="00A46A35" w:rsidRPr="00E12F10">
        <w:rPr>
          <w:rFonts w:ascii="Times New Roman" w:hAnsi="Times New Roman"/>
          <w:sz w:val="20"/>
        </w:rPr>
        <w:t xml:space="preserve">influence an individual’s daily health choices.  </w:t>
      </w:r>
      <w:proofErr w:type="gramStart"/>
      <w:r w:rsidR="00A46A35" w:rsidRPr="00E12F10">
        <w:rPr>
          <w:rFonts w:ascii="Times New Roman" w:hAnsi="Times New Roman"/>
          <w:sz w:val="20"/>
        </w:rPr>
        <w:t>To better understand</w:t>
      </w:r>
      <w:proofErr w:type="gramEnd"/>
      <w:r w:rsidR="00A46A35" w:rsidRPr="00E12F10">
        <w:rPr>
          <w:rFonts w:ascii="Times New Roman" w:hAnsi="Times New Roman"/>
          <w:sz w:val="20"/>
        </w:rPr>
        <w:t xml:space="preserve"> the factors influencing age-related diseases and health-promotion in midlife and older adults, this multistate research project will examine three areas of study: (1) molecular and mechanistic understanding of how nutrients and activity can influence age-related diseases; (2) environmental factors influencing the adoption of health-promoting lifestyle changes and (3) evaluation of lifestyle interventions that lead to measurable outcomes. The proposed projects under each of these study areas, either directly or indirectly address overweight/obesity and chronic disease reduction in midlife and older adults.</w:t>
      </w:r>
    </w:p>
    <w:p w:rsidR="00A46A35" w:rsidRPr="00A46A35" w:rsidRDefault="00A46A35" w:rsidP="00A46A35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3B11A8" w:rsidRPr="008161FB" w:rsidTr="000064C9">
        <w:tc>
          <w:tcPr>
            <w:tcW w:w="2436" w:type="dxa"/>
            <w:shd w:val="clear" w:color="auto" w:fill="F2F2F2"/>
          </w:tcPr>
          <w:p w:rsidR="003B11A8" w:rsidRPr="008161FB" w:rsidRDefault="00D96F47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9" o:spid="_x0000_s1026" type="#_x0000_t13" style="position:absolute;left:0;text-align:left;margin-left:100.4pt;margin-top:.25pt;width:27.8pt;height:18.75pt;rotation:18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" fillcolor="black"/>
              </w:pict>
            </w:r>
            <w:r w:rsidR="003B11A8" w:rsidRPr="008161FB">
              <w:rPr>
                <w:rFonts w:ascii="Times New Roman" w:hAnsi="Times New Roman"/>
                <w:b/>
                <w:sz w:val="18"/>
                <w:szCs w:val="18"/>
              </w:rPr>
              <w:t>Inputs</w:t>
            </w:r>
          </w:p>
        </w:tc>
        <w:tc>
          <w:tcPr>
            <w:tcW w:w="4872" w:type="dxa"/>
            <w:gridSpan w:val="2"/>
            <w:shd w:val="clear" w:color="auto" w:fill="F2F2F2"/>
          </w:tcPr>
          <w:p w:rsidR="003B11A8" w:rsidRPr="008161FB" w:rsidRDefault="00D96F47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F47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pict>
                <v:shape id="AutoShape 45" o:spid="_x0000_s1027" type="#_x0000_t13" style="position:absolute;left:0;text-align:left;margin-left:227.05pt;margin-top:.25pt;width:27.8pt;height:18.75pt;rotation:180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" fillcolor="black"/>
              </w:pict>
            </w:r>
            <w:r w:rsidR="003B11A8" w:rsidRPr="008161FB">
              <w:rPr>
                <w:rFonts w:ascii="Times New Roman" w:hAnsi="Times New Roman"/>
                <w:b/>
                <w:sz w:val="18"/>
                <w:szCs w:val="18"/>
              </w:rPr>
              <w:t>Outputs</w:t>
            </w:r>
          </w:p>
        </w:tc>
        <w:tc>
          <w:tcPr>
            <w:tcW w:w="7308" w:type="dxa"/>
            <w:gridSpan w:val="3"/>
            <w:shd w:val="clear" w:color="auto" w:fill="F2F2F2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Outcomes--Impact</w:t>
            </w:r>
          </w:p>
        </w:tc>
      </w:tr>
      <w:tr w:rsidR="00073D98" w:rsidRPr="008161FB" w:rsidTr="000064C9">
        <w:tc>
          <w:tcPr>
            <w:tcW w:w="2436" w:type="dxa"/>
            <w:shd w:val="clear" w:color="auto" w:fill="auto"/>
          </w:tcPr>
          <w:p w:rsidR="003B11A8" w:rsidRPr="008161FB" w:rsidRDefault="003B11A8" w:rsidP="00EF39E2">
            <w:pPr>
              <w:pStyle w:val="Footnote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Participation</w:t>
            </w:r>
          </w:p>
        </w:tc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Short</w:t>
            </w:r>
            <w:r w:rsidR="0076417A">
              <w:rPr>
                <w:rFonts w:ascii="Times New Roman" w:hAnsi="Times New Roman"/>
                <w:b/>
                <w:sz w:val="18"/>
                <w:szCs w:val="18"/>
              </w:rPr>
              <w:t xml:space="preserve"> (1-2 years)</w:t>
            </w:r>
          </w:p>
        </w:tc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Medium</w:t>
            </w:r>
            <w:r w:rsidR="0076417A">
              <w:rPr>
                <w:rFonts w:ascii="Times New Roman" w:hAnsi="Times New Roman"/>
                <w:b/>
                <w:sz w:val="18"/>
                <w:szCs w:val="18"/>
              </w:rPr>
              <w:t xml:space="preserve"> (2-4 years)</w:t>
            </w:r>
          </w:p>
        </w:tc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Long</w:t>
            </w:r>
            <w:r w:rsidR="0076417A">
              <w:rPr>
                <w:rFonts w:ascii="Times New Roman" w:hAnsi="Times New Roman"/>
                <w:b/>
                <w:sz w:val="18"/>
                <w:szCs w:val="18"/>
              </w:rPr>
              <w:t xml:space="preserve"> (5+ years)</w:t>
            </w:r>
          </w:p>
        </w:tc>
      </w:tr>
      <w:tr w:rsidR="00073D98" w:rsidRPr="008161FB" w:rsidTr="000064C9">
        <w:tc>
          <w:tcPr>
            <w:tcW w:w="2436" w:type="dxa"/>
            <w:shd w:val="clear" w:color="auto" w:fill="auto"/>
          </w:tcPr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Funding/Grant Dollars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Staff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Research Base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Equipment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Materials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Time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Volunteers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Community Partners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Existing Resources</w:t>
            </w:r>
          </w:p>
        </w:tc>
        <w:tc>
          <w:tcPr>
            <w:tcW w:w="2436" w:type="dxa"/>
            <w:shd w:val="clear" w:color="auto" w:fill="auto"/>
          </w:tcPr>
          <w:p w:rsidR="003B11A8" w:rsidRPr="008161FB" w:rsidRDefault="00A46A35" w:rsidP="00A46A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STUDY AREA 1:</w:t>
            </w:r>
          </w:p>
          <w:p w:rsidR="00A46A35" w:rsidRPr="008161FB" w:rsidRDefault="000F2734" w:rsidP="00A46A35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A46A35" w:rsidRPr="008161FB">
              <w:rPr>
                <w:rFonts w:ascii="Times New Roman" w:hAnsi="Times New Roman"/>
                <w:i/>
                <w:sz w:val="18"/>
                <w:szCs w:val="18"/>
              </w:rPr>
              <w:t>evelop assays to measure telomere length in individual</w:t>
            </w:r>
            <w:r w:rsidR="003E27CB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A46A35" w:rsidRPr="008161FB">
              <w:rPr>
                <w:rFonts w:ascii="Times New Roman" w:hAnsi="Times New Roman"/>
                <w:i/>
                <w:sz w:val="18"/>
                <w:szCs w:val="18"/>
              </w:rPr>
              <w:t xml:space="preserve"> with diets rich in antioxidants like fruits, vegetables and whole grains compared to other diets</w:t>
            </w:r>
            <w:r w:rsidR="00F61E3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0F2734" w:rsidRPr="008161FB" w:rsidRDefault="000F2734" w:rsidP="00A46A35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Examine association of dietary intake, serum biomarkers</w:t>
            </w:r>
            <w:r w:rsidR="00073D98"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for</w:t>
            </w:r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folate</w:t>
            </w:r>
            <w:proofErr w:type="spellEnd"/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, vitamins B12 and B6, and </w:t>
            </w:r>
            <w:proofErr w:type="spellStart"/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homo</w:t>
            </w:r>
            <w:r w:rsidR="00073D98"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c</w:t>
            </w:r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ysteine</w:t>
            </w:r>
            <w:proofErr w:type="spellEnd"/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with</w:t>
            </w:r>
            <w:r w:rsidR="00F61E39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AMD and</w:t>
            </w:r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</w:t>
            </w:r>
            <w:r w:rsidR="00073D98"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the</w:t>
            </w:r>
            <w:r w:rsidRPr="008161FB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risk of overall morbidity and mortality from CVD, stroke and overall cancer.</w:t>
            </w:r>
          </w:p>
          <w:p w:rsidR="000F2734" w:rsidRPr="008161FB" w:rsidRDefault="000F2734" w:rsidP="000F27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2734" w:rsidRPr="008161FB" w:rsidRDefault="000F2734" w:rsidP="000F27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STUDY AREA 2:</w:t>
            </w:r>
          </w:p>
          <w:p w:rsidR="000F2734" w:rsidRPr="008161FB" w:rsidRDefault="000F2734" w:rsidP="000F2734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 xml:space="preserve">Determine aspects of the food environment that have more influence on older adults’ eating behaviors than others based on consumers’ </w:t>
            </w:r>
            <w:proofErr w:type="gramStart"/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perceptions</w:t>
            </w:r>
            <w:proofErr w:type="gramEnd"/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0F2734" w:rsidRPr="008161FB" w:rsidRDefault="000F2734" w:rsidP="000F2734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Investigate the role of demand-side barriers in impeding access to the food and the main causes of food insecurity</w:t>
            </w:r>
            <w:r w:rsidR="0047541B" w:rsidRPr="008161FB">
              <w:rPr>
                <w:rFonts w:ascii="Times New Roman" w:hAnsi="Times New Roman"/>
                <w:i/>
                <w:sz w:val="18"/>
                <w:szCs w:val="18"/>
              </w:rPr>
              <w:t xml:space="preserve"> in midlife and older adults</w:t>
            </w: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 xml:space="preserve">.   </w:t>
            </w:r>
          </w:p>
          <w:p w:rsidR="000F2734" w:rsidRPr="008161FB" w:rsidRDefault="000F2734" w:rsidP="000F27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2734" w:rsidRPr="008161FB" w:rsidRDefault="000F2734" w:rsidP="000F27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STUDY AREA 3:</w:t>
            </w:r>
          </w:p>
          <w:p w:rsidR="00073D98" w:rsidRPr="008161FB" w:rsidRDefault="00073D98" w:rsidP="00073D98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 xml:space="preserve">Review the current </w:t>
            </w:r>
            <w:r w:rsidRPr="008161F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literature to identify lifestyle intervention programming attributes that increase likelihood of behavior change</w:t>
            </w:r>
          </w:p>
          <w:p w:rsidR="00073D98" w:rsidRPr="008161FB" w:rsidRDefault="00073D98" w:rsidP="00073D98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Determine whether detrimental health outcomes are associated time spent sitting and engaging in sedentary behaviors in adults with rheumatoid arthritis</w:t>
            </w:r>
          </w:p>
          <w:p w:rsidR="000F2734" w:rsidRPr="008161FB" w:rsidRDefault="00073D98" w:rsidP="00073D98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8161FB">
              <w:rPr>
                <w:rFonts w:ascii="Times New Roman" w:hAnsi="Times New Roman"/>
                <w:i/>
                <w:sz w:val="18"/>
                <w:szCs w:val="18"/>
              </w:rPr>
              <w:t>Develop and evaluate client-centered curriculum targeting aspects of whole-person wellness (e.</w:t>
            </w:r>
            <w:r w:rsidR="0047541B" w:rsidRPr="008161FB">
              <w:rPr>
                <w:rFonts w:ascii="Times New Roman" w:hAnsi="Times New Roman"/>
                <w:i/>
                <w:sz w:val="18"/>
                <w:szCs w:val="18"/>
              </w:rPr>
              <w:t>g. nutrition, physical activity) for midlife and older adults.</w:t>
            </w:r>
          </w:p>
        </w:tc>
        <w:tc>
          <w:tcPr>
            <w:tcW w:w="2436" w:type="dxa"/>
            <w:shd w:val="clear" w:color="auto" w:fill="auto"/>
          </w:tcPr>
          <w:p w:rsidR="00F57984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lastRenderedPageBreak/>
              <w:t>Public</w:t>
            </w:r>
          </w:p>
          <w:p w:rsidR="00F57984" w:rsidRPr="008161FB" w:rsidRDefault="008161FB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 xml:space="preserve">Midlife and </w:t>
            </w:r>
            <w:r w:rsidR="00F57984" w:rsidRPr="008161FB">
              <w:rPr>
                <w:rFonts w:ascii="Times New Roman" w:hAnsi="Times New Roman"/>
                <w:sz w:val="18"/>
                <w:szCs w:val="18"/>
              </w:rPr>
              <w:t>Older Adults</w:t>
            </w:r>
          </w:p>
          <w:p w:rsidR="008161FB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 xml:space="preserve">Limited Resource Audiences </w:t>
            </w:r>
          </w:p>
          <w:p w:rsidR="00F57984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Congregate meal</w:t>
            </w:r>
            <w:r w:rsidR="003E27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61FB">
              <w:rPr>
                <w:rFonts w:ascii="Times New Roman" w:hAnsi="Times New Roman"/>
                <w:sz w:val="18"/>
                <w:szCs w:val="18"/>
              </w:rPr>
              <w:t>sites</w:t>
            </w:r>
          </w:p>
          <w:p w:rsidR="00F57984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Community centers and/or recreation centers</w:t>
            </w:r>
          </w:p>
          <w:p w:rsidR="00F57984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Senior living communities</w:t>
            </w:r>
          </w:p>
          <w:p w:rsidR="00F57984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Community Food Providers</w:t>
            </w:r>
          </w:p>
          <w:p w:rsidR="003B11A8" w:rsidRPr="008161FB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1FB">
              <w:rPr>
                <w:rFonts w:ascii="Times New Roman" w:hAnsi="Times New Roman"/>
                <w:sz w:val="18"/>
                <w:szCs w:val="18"/>
              </w:rPr>
              <w:t>State agencies (e.g. departments of public health; departments on aging, etc).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1D2467" w:rsidRPr="00A945D8" w:rsidRDefault="00E12F10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Increased knowledge of molecular and mechanistic impacts of the aging process</w:t>
            </w:r>
            <w:r w:rsidR="001D4484" w:rsidRPr="00A945D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 xml:space="preserve">Ex. telomere length assay will be completed for animal models and tested with and without compounds that cause elevated </w:t>
            </w:r>
            <w:proofErr w:type="spellStart"/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>genotoxic</w:t>
            </w:r>
            <w:proofErr w:type="spellEnd"/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 xml:space="preserve"> stress</w:t>
            </w:r>
            <w:r w:rsidR="001D4484" w:rsidRPr="00A945D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57984" w:rsidRPr="00A945D8" w:rsidRDefault="00F57984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 xml:space="preserve">Increased </w:t>
            </w:r>
            <w:r w:rsidR="001D2467" w:rsidRPr="00A945D8">
              <w:rPr>
                <w:rFonts w:ascii="Times New Roman" w:hAnsi="Times New Roman"/>
                <w:sz w:val="18"/>
                <w:szCs w:val="18"/>
              </w:rPr>
              <w:t xml:space="preserve">understanding </w:t>
            </w:r>
            <w:r w:rsidRPr="00A945D8"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="001D2467" w:rsidRPr="00A945D8">
              <w:rPr>
                <w:rFonts w:ascii="Times New Roman" w:hAnsi="Times New Roman"/>
                <w:sz w:val="18"/>
                <w:szCs w:val="18"/>
              </w:rPr>
              <w:t xml:space="preserve">environmental factors influencing food choice in </w:t>
            </w:r>
            <w:r w:rsidR="0047541B" w:rsidRPr="00A945D8">
              <w:rPr>
                <w:rFonts w:ascii="Times New Roman" w:hAnsi="Times New Roman"/>
                <w:sz w:val="18"/>
                <w:szCs w:val="18"/>
              </w:rPr>
              <w:t xml:space="preserve">midlife and </w:t>
            </w:r>
            <w:r w:rsidR="001D2467" w:rsidRPr="00A945D8">
              <w:rPr>
                <w:rFonts w:ascii="Times New Roman" w:hAnsi="Times New Roman"/>
                <w:sz w:val="18"/>
                <w:szCs w:val="18"/>
              </w:rPr>
              <w:t>older adults</w:t>
            </w:r>
            <w:r w:rsidR="0072201D" w:rsidRPr="00A945D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2201D" w:rsidRPr="00A945D8">
              <w:rPr>
                <w:rFonts w:ascii="Times New Roman" w:hAnsi="Times New Roman"/>
                <w:i/>
                <w:sz w:val="18"/>
                <w:szCs w:val="18"/>
              </w:rPr>
              <w:t>Ex. Milestone: development of food environmental survey for older adult consumers</w:t>
            </w:r>
            <w:r w:rsidR="0072201D" w:rsidRPr="00A945D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D2467" w:rsidRPr="00A945D8" w:rsidRDefault="001D2467" w:rsidP="00F5798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Increased understanding of programming attributes leading to successful outcomes</w:t>
            </w:r>
            <w:r w:rsidR="0072201D" w:rsidRP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01D" w:rsidRPr="00A945D8">
              <w:rPr>
                <w:rFonts w:ascii="Times New Roman" w:hAnsi="Times New Roman"/>
                <w:i/>
                <w:sz w:val="18"/>
                <w:szCs w:val="18"/>
              </w:rPr>
              <w:t xml:space="preserve">(Ex. Milestone: </w:t>
            </w:r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 xml:space="preserve">Diet and physical </w:t>
            </w:r>
            <w:proofErr w:type="gramStart"/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>activity program attribute review papers</w:t>
            </w:r>
            <w:proofErr w:type="gramEnd"/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 xml:space="preserve"> will be submitted).</w:t>
            </w:r>
          </w:p>
          <w:p w:rsidR="001D2467" w:rsidRPr="00A945D8" w:rsidRDefault="001D2467" w:rsidP="001D2467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 xml:space="preserve">Increased awareness of health promoting nutrition and physical activity behaviors by </w:t>
            </w:r>
            <w:r w:rsidR="0047541B" w:rsidRPr="00A945D8">
              <w:rPr>
                <w:rFonts w:ascii="Times New Roman" w:hAnsi="Times New Roman"/>
                <w:sz w:val="18"/>
                <w:szCs w:val="18"/>
              </w:rPr>
              <w:t xml:space="preserve">midlife and </w:t>
            </w:r>
            <w:r w:rsidRPr="00A945D8">
              <w:rPr>
                <w:rFonts w:ascii="Times New Roman" w:hAnsi="Times New Roman"/>
                <w:sz w:val="18"/>
                <w:szCs w:val="18"/>
              </w:rPr>
              <w:t>older adults</w:t>
            </w:r>
            <w:r w:rsidR="0072201D" w:rsidRP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01D" w:rsidRPr="00A945D8">
              <w:rPr>
                <w:rFonts w:ascii="Times New Roman" w:hAnsi="Times New Roman"/>
                <w:i/>
                <w:sz w:val="18"/>
                <w:szCs w:val="18"/>
              </w:rPr>
              <w:t>(Ex. Milestone: Publication of nutrition needs assessments based on multistate findings.)</w:t>
            </w:r>
            <w:r w:rsidR="0072201D" w:rsidRP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6C89" w:rsidRPr="00A945D8" w:rsidRDefault="001D2467" w:rsidP="001D2467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 xml:space="preserve">Increased knowledge of </w:t>
            </w:r>
            <w:r w:rsidRPr="00A945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effects/ consequences of poor health behaviors by </w:t>
            </w:r>
            <w:r w:rsidR="0047541B" w:rsidRPr="00A945D8">
              <w:rPr>
                <w:rFonts w:ascii="Times New Roman" w:hAnsi="Times New Roman"/>
                <w:sz w:val="18"/>
                <w:szCs w:val="18"/>
              </w:rPr>
              <w:t xml:space="preserve">midlife and </w:t>
            </w:r>
            <w:r w:rsidRPr="00A945D8">
              <w:rPr>
                <w:rFonts w:ascii="Times New Roman" w:hAnsi="Times New Roman"/>
                <w:sz w:val="18"/>
                <w:szCs w:val="18"/>
              </w:rPr>
              <w:t>older adults</w:t>
            </w:r>
            <w:r w:rsidR="001D4484" w:rsidRPr="00A945D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D4484" w:rsidRPr="00A945D8">
              <w:rPr>
                <w:rFonts w:ascii="Times New Roman" w:hAnsi="Times New Roman"/>
                <w:i/>
                <w:sz w:val="18"/>
                <w:szCs w:val="18"/>
              </w:rPr>
              <w:t>Ex. Milestone: Completion of formative nutritional needs study</w:t>
            </w:r>
            <w:r w:rsidR="001D4484" w:rsidRPr="00A945D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2201D" w:rsidRPr="008161FB" w:rsidRDefault="0072201D" w:rsidP="001D44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1D2467" w:rsidRPr="009431B5" w:rsidRDefault="001D2467" w:rsidP="001D2467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9431B5">
              <w:rPr>
                <w:rFonts w:ascii="Times New Roman" w:hAnsi="Times New Roman"/>
                <w:sz w:val="18"/>
                <w:szCs w:val="18"/>
              </w:rPr>
              <w:lastRenderedPageBreak/>
              <w:t>Increased community capacity to promote positive health behaviors</w:t>
            </w:r>
            <w:r w:rsidR="00A945D8" w:rsidRPr="009431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431B5" w:rsidRPr="009431B5">
              <w:rPr>
                <w:rFonts w:ascii="Times New Roman" w:hAnsi="Times New Roman"/>
                <w:i/>
                <w:sz w:val="18"/>
                <w:szCs w:val="18"/>
              </w:rPr>
              <w:t>Ex. Milestone: s</w:t>
            </w:r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 xml:space="preserve">urvey data from older adults about their perceptions of the food environment </w:t>
            </w:r>
            <w:proofErr w:type="gramStart"/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>will be analyzed</w:t>
            </w:r>
            <w:proofErr w:type="gramEnd"/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  <w:p w:rsidR="001D2467" w:rsidRPr="009431B5" w:rsidRDefault="001D2467" w:rsidP="001D2467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9431B5">
              <w:rPr>
                <w:rFonts w:ascii="Times New Roman" w:hAnsi="Times New Roman"/>
                <w:sz w:val="18"/>
                <w:szCs w:val="18"/>
              </w:rPr>
              <w:t xml:space="preserve">Increased participation of </w:t>
            </w:r>
            <w:r w:rsidR="0047541B" w:rsidRPr="009431B5">
              <w:rPr>
                <w:rFonts w:ascii="Times New Roman" w:hAnsi="Times New Roman"/>
                <w:sz w:val="18"/>
                <w:szCs w:val="18"/>
              </w:rPr>
              <w:t>midlife</w:t>
            </w:r>
            <w:r w:rsidRPr="009431B5">
              <w:rPr>
                <w:rFonts w:ascii="Times New Roman" w:hAnsi="Times New Roman"/>
                <w:sz w:val="18"/>
                <w:szCs w:val="18"/>
              </w:rPr>
              <w:t xml:space="preserve"> and older adults in prevention programs to increase physical activity and health promoting dietary behaviors</w:t>
            </w:r>
          </w:p>
          <w:p w:rsidR="00A945D8" w:rsidRPr="00A945D8" w:rsidRDefault="001D2467" w:rsidP="00A945D8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9431B5">
              <w:rPr>
                <w:rFonts w:ascii="Times New Roman" w:hAnsi="Times New Roman"/>
                <w:sz w:val="18"/>
                <w:szCs w:val="18"/>
              </w:rPr>
              <w:t>Increased practice of preventive health promoting (dietary and physical activity) behaviors</w:t>
            </w:r>
            <w:r w:rsidR="001D4484" w:rsidRPr="009431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45D8" w:rsidRPr="009431B5">
              <w:rPr>
                <w:rFonts w:ascii="Times New Roman" w:hAnsi="Times New Roman"/>
                <w:sz w:val="18"/>
                <w:szCs w:val="18"/>
              </w:rPr>
              <w:t>(</w:t>
            </w:r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 xml:space="preserve">Ex. Milestone: Findings from “Fresh Conversations” </w:t>
            </w:r>
            <w:proofErr w:type="gramStart"/>
            <w:r w:rsidR="00A945D8" w:rsidRPr="009431B5">
              <w:rPr>
                <w:rFonts w:ascii="Times New Roman" w:hAnsi="Times New Roman"/>
                <w:i/>
                <w:sz w:val="18"/>
                <w:szCs w:val="18"/>
              </w:rPr>
              <w:t>will be published</w:t>
            </w:r>
            <w:bookmarkStart w:id="0" w:name="_GoBack"/>
            <w:bookmarkEnd w:id="0"/>
            <w:proofErr w:type="gramEnd"/>
            <w:r w:rsidR="00A945D8" w:rsidRPr="009431B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36" w:type="dxa"/>
            <w:shd w:val="clear" w:color="auto" w:fill="auto"/>
          </w:tcPr>
          <w:p w:rsidR="00E12F10" w:rsidRPr="00A945D8" w:rsidRDefault="00E12F10" w:rsidP="001D2467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Better biomarkers for identifying increased risk for older adults</w:t>
            </w:r>
            <w:r w:rsid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45D8" w:rsidRPr="00A945D8">
              <w:rPr>
                <w:rFonts w:ascii="Times New Roman" w:hAnsi="Times New Roman"/>
                <w:i/>
                <w:sz w:val="18"/>
                <w:szCs w:val="18"/>
              </w:rPr>
              <w:t>(Ex. Milestone: test and compare telomere length from samples in year 1 to samples in year 5 from human participants)</w:t>
            </w:r>
          </w:p>
          <w:p w:rsidR="001D2467" w:rsidRPr="00A945D8" w:rsidRDefault="001D2467" w:rsidP="001D2467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 xml:space="preserve">Lower rates of overweight/obesity in </w:t>
            </w:r>
            <w:r w:rsidR="0047541B" w:rsidRPr="00A945D8">
              <w:rPr>
                <w:rFonts w:ascii="Times New Roman" w:hAnsi="Times New Roman"/>
                <w:sz w:val="18"/>
                <w:szCs w:val="18"/>
              </w:rPr>
              <w:t>midlife</w:t>
            </w:r>
            <w:r w:rsidRPr="00A945D8">
              <w:rPr>
                <w:rFonts w:ascii="Times New Roman" w:hAnsi="Times New Roman"/>
                <w:sz w:val="18"/>
                <w:szCs w:val="18"/>
              </w:rPr>
              <w:t xml:space="preserve"> and older adults</w:t>
            </w:r>
          </w:p>
          <w:p w:rsidR="001D2467" w:rsidRPr="00A945D8" w:rsidRDefault="001D2467" w:rsidP="001D2467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Decreased  healthcare costs</w:t>
            </w:r>
          </w:p>
          <w:p w:rsidR="003B11A8" w:rsidRPr="00A945D8" w:rsidRDefault="003B11A8" w:rsidP="000064C9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Increased community capacity</w:t>
            </w:r>
          </w:p>
          <w:p w:rsidR="00351291" w:rsidRPr="00A945D8" w:rsidRDefault="00351291" w:rsidP="000064C9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Changes in community enablers and behavioral settings that improve healthy eating in older adults</w:t>
            </w:r>
            <w:r w:rsidR="00A945D8" w:rsidRP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1291" w:rsidRPr="00A945D8" w:rsidRDefault="00351291" w:rsidP="000064C9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45D8">
              <w:rPr>
                <w:rFonts w:ascii="Times New Roman" w:hAnsi="Times New Roman"/>
                <w:sz w:val="18"/>
                <w:szCs w:val="18"/>
              </w:rPr>
              <w:t>Improved diet quality</w:t>
            </w:r>
            <w:r w:rsidR="00A945D8" w:rsidRPr="00A945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45D8">
              <w:rPr>
                <w:rFonts w:ascii="Times New Roman" w:hAnsi="Times New Roman"/>
                <w:sz w:val="18"/>
                <w:szCs w:val="18"/>
              </w:rPr>
              <w:t>physical activity and functioning of older adults</w:t>
            </w:r>
            <w:r w:rsidR="00A945D8" w:rsidRPr="00A94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45D8" w:rsidRPr="00A945D8">
              <w:rPr>
                <w:rFonts w:ascii="Times New Roman" w:hAnsi="Times New Roman"/>
                <w:i/>
                <w:sz w:val="18"/>
                <w:szCs w:val="18"/>
              </w:rPr>
              <w:t>(Ex. Milestone: Analyze and evaluate the data from completed intervention studies; i.e. the RA study and multipronged research studies examining the impact of multiple exercise modalities and dietary intervention)</w:t>
            </w:r>
          </w:p>
          <w:p w:rsidR="003B11A8" w:rsidRPr="008161FB" w:rsidRDefault="003B11A8" w:rsidP="00EF39E2">
            <w:pPr>
              <w:pStyle w:val="Footnot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1A8" w:rsidRPr="008161FB" w:rsidTr="000064C9">
        <w:tc>
          <w:tcPr>
            <w:tcW w:w="7308" w:type="dxa"/>
            <w:gridSpan w:val="3"/>
            <w:shd w:val="clear" w:color="auto" w:fill="F2F2F2"/>
          </w:tcPr>
          <w:p w:rsidR="003B11A8" w:rsidRPr="008161FB" w:rsidRDefault="003B11A8" w:rsidP="003B1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Assumptions</w:t>
            </w:r>
          </w:p>
        </w:tc>
        <w:tc>
          <w:tcPr>
            <w:tcW w:w="7308" w:type="dxa"/>
            <w:gridSpan w:val="3"/>
            <w:shd w:val="clear" w:color="auto" w:fill="F2F2F2"/>
          </w:tcPr>
          <w:p w:rsidR="003B11A8" w:rsidRPr="008161FB" w:rsidRDefault="003B11A8" w:rsidP="003B1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1FB">
              <w:rPr>
                <w:rFonts w:ascii="Times New Roman" w:hAnsi="Times New Roman"/>
                <w:b/>
                <w:sz w:val="18"/>
                <w:szCs w:val="18"/>
              </w:rPr>
              <w:t>External Factors</w:t>
            </w:r>
          </w:p>
        </w:tc>
      </w:tr>
      <w:tr w:rsidR="003B11A8" w:rsidRPr="008161FB" w:rsidTr="000064C9">
        <w:tc>
          <w:tcPr>
            <w:tcW w:w="7308" w:type="dxa"/>
            <w:gridSpan w:val="3"/>
            <w:shd w:val="clear" w:color="auto" w:fill="auto"/>
          </w:tcPr>
          <w:p w:rsidR="00744965" w:rsidRPr="008161FB" w:rsidRDefault="00744965" w:rsidP="00744965">
            <w:pPr>
              <w:pStyle w:val="FootnoteText"/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 xml:space="preserve">The increased national focus on overweight/obesity and greater public awareness of overweight/obesity and chronic disease prevention will mobilize communities to learn about and adopt behaviors that combat overweight/obesity and chronic disease.  </w:t>
            </w:r>
          </w:p>
          <w:p w:rsidR="00744965" w:rsidRPr="008161FB" w:rsidRDefault="00744965" w:rsidP="003B11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4965" w:rsidRPr="008161FB" w:rsidRDefault="00744965" w:rsidP="003B11A8">
            <w:p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Continued resources and funding can be secured to support the NE_TEMP2143 team’s research areas and programs</w:t>
            </w:r>
          </w:p>
          <w:p w:rsidR="00744965" w:rsidRPr="008161FB" w:rsidRDefault="00744965" w:rsidP="003B11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11A8" w:rsidRPr="008161FB" w:rsidRDefault="003B11A8" w:rsidP="001D2467">
            <w:p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 xml:space="preserve">The growing number of </w:t>
            </w:r>
            <w:r w:rsidR="00744965" w:rsidRPr="008161FB">
              <w:rPr>
                <w:rFonts w:ascii="Times New Roman" w:hAnsi="Times New Roman"/>
                <w:sz w:val="18"/>
                <w:szCs w:val="18"/>
              </w:rPr>
              <w:t>midlife</w:t>
            </w:r>
            <w:r w:rsidRPr="008161FB">
              <w:rPr>
                <w:rFonts w:ascii="Times New Roman" w:hAnsi="Times New Roman"/>
                <w:sz w:val="18"/>
                <w:szCs w:val="18"/>
              </w:rPr>
              <w:t xml:space="preserve"> and older adults will mobilize communities to incorporate low-cost evidence-based health programs that promote successful aging.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1FB">
              <w:rPr>
                <w:rFonts w:ascii="Times New Roman" w:hAnsi="Times New Roman"/>
                <w:sz w:val="18"/>
                <w:szCs w:val="18"/>
              </w:rPr>
              <w:t>Natural Disasters (drought, weather extremes, etc.)</w:t>
            </w:r>
            <w:proofErr w:type="gramEnd"/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Economy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Appropriations changes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Public Policy changes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Government Regulations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</w:rPr>
              <w:t>Competing Public priorities</w:t>
            </w:r>
          </w:p>
          <w:p w:rsidR="003B11A8" w:rsidRPr="008161FB" w:rsidRDefault="003B11A8" w:rsidP="000064C9">
            <w:pPr>
              <w:pStyle w:val="FootnoteText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8161FB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Populations changes (immigration, new cultural </w:t>
            </w:r>
            <w:proofErr w:type="spellStart"/>
            <w:r w:rsidRPr="008161FB">
              <w:rPr>
                <w:rFonts w:ascii="Times New Roman" w:hAnsi="Times New Roman"/>
                <w:sz w:val="18"/>
                <w:szCs w:val="18"/>
                <w:lang w:val="fr-FR"/>
              </w:rPr>
              <w:t>groupings</w:t>
            </w:r>
            <w:proofErr w:type="spellEnd"/>
            <w:r w:rsidRPr="008161FB">
              <w:rPr>
                <w:rFonts w:ascii="Times New Roman" w:hAnsi="Times New Roman"/>
                <w:sz w:val="18"/>
                <w:szCs w:val="18"/>
                <w:lang w:val="fr-FR"/>
              </w:rPr>
              <w:t>, etc.)</w:t>
            </w:r>
          </w:p>
        </w:tc>
      </w:tr>
    </w:tbl>
    <w:p w:rsidR="008F4309" w:rsidRPr="00453ABB" w:rsidRDefault="008F4309" w:rsidP="001D2467">
      <w:pPr>
        <w:pStyle w:val="FootnoteText"/>
        <w:rPr>
          <w:rFonts w:ascii="Times New Roman" w:hAnsi="Times New Roman"/>
          <w:sz w:val="24"/>
          <w:szCs w:val="24"/>
        </w:rPr>
      </w:pPr>
    </w:p>
    <w:sectPr w:rsidR="008F4309" w:rsidRPr="00453ABB" w:rsidSect="00812788">
      <w:pgSz w:w="15840" w:h="12240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6D"/>
    <w:multiLevelType w:val="hybridMultilevel"/>
    <w:tmpl w:val="A7C81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C7DCC"/>
    <w:multiLevelType w:val="hybridMultilevel"/>
    <w:tmpl w:val="8CFE8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E73F9"/>
    <w:multiLevelType w:val="hybridMultilevel"/>
    <w:tmpl w:val="9AD2F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C7BDB"/>
    <w:multiLevelType w:val="hybridMultilevel"/>
    <w:tmpl w:val="C06A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F0319"/>
    <w:multiLevelType w:val="hybridMultilevel"/>
    <w:tmpl w:val="162E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BE1CA2"/>
    <w:multiLevelType w:val="hybridMultilevel"/>
    <w:tmpl w:val="532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96F"/>
    <w:multiLevelType w:val="hybridMultilevel"/>
    <w:tmpl w:val="78BC2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33602"/>
    <w:multiLevelType w:val="hybridMultilevel"/>
    <w:tmpl w:val="1082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F2B06"/>
    <w:multiLevelType w:val="hybridMultilevel"/>
    <w:tmpl w:val="7DD85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D05019"/>
    <w:multiLevelType w:val="hybridMultilevel"/>
    <w:tmpl w:val="3AF6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70E24"/>
    <w:multiLevelType w:val="hybridMultilevel"/>
    <w:tmpl w:val="6A747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12">
    <w:nsid w:val="4C063ACD"/>
    <w:multiLevelType w:val="hybridMultilevel"/>
    <w:tmpl w:val="2DE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BD515F"/>
    <w:multiLevelType w:val="hybridMultilevel"/>
    <w:tmpl w:val="AD30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4B14"/>
    <w:multiLevelType w:val="hybridMultilevel"/>
    <w:tmpl w:val="B19A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A25B7"/>
    <w:multiLevelType w:val="hybridMultilevel"/>
    <w:tmpl w:val="2176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35DF8"/>
    <w:multiLevelType w:val="hybridMultilevel"/>
    <w:tmpl w:val="68783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BE7606"/>
    <w:multiLevelType w:val="hybridMultilevel"/>
    <w:tmpl w:val="29E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0859"/>
    <w:multiLevelType w:val="hybridMultilevel"/>
    <w:tmpl w:val="E562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377C43"/>
    <w:multiLevelType w:val="hybridMultilevel"/>
    <w:tmpl w:val="C1CA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B734E"/>
    <w:multiLevelType w:val="hybridMultilevel"/>
    <w:tmpl w:val="784A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7461B"/>
    <w:multiLevelType w:val="hybridMultilevel"/>
    <w:tmpl w:val="94BA2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353D2"/>
    <w:multiLevelType w:val="hybridMultilevel"/>
    <w:tmpl w:val="B910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168C1"/>
    <w:multiLevelType w:val="hybridMultilevel"/>
    <w:tmpl w:val="1DC46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B6C9C"/>
    <w:multiLevelType w:val="hybridMultilevel"/>
    <w:tmpl w:val="7E7E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709B9"/>
    <w:multiLevelType w:val="hybridMultilevel"/>
    <w:tmpl w:val="F0105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81DB0"/>
    <w:multiLevelType w:val="hybridMultilevel"/>
    <w:tmpl w:val="9CB4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2"/>
  </w:num>
  <w:num w:numId="5">
    <w:abstractNumId w:val="25"/>
  </w:num>
  <w:num w:numId="6">
    <w:abstractNumId w:val="24"/>
  </w:num>
  <w:num w:numId="7">
    <w:abstractNumId w:val="16"/>
  </w:num>
  <w:num w:numId="8">
    <w:abstractNumId w:val="0"/>
  </w:num>
  <w:num w:numId="9">
    <w:abstractNumId w:val="23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7"/>
  </w:num>
  <w:num w:numId="15">
    <w:abstractNumId w:val="19"/>
  </w:num>
  <w:num w:numId="16">
    <w:abstractNumId w:val="15"/>
  </w:num>
  <w:num w:numId="17">
    <w:abstractNumId w:val="1"/>
  </w:num>
  <w:num w:numId="18">
    <w:abstractNumId w:val="26"/>
  </w:num>
  <w:num w:numId="19">
    <w:abstractNumId w:val="20"/>
  </w:num>
  <w:num w:numId="20">
    <w:abstractNumId w:val="18"/>
  </w:num>
  <w:num w:numId="21">
    <w:abstractNumId w:val="12"/>
  </w:num>
  <w:num w:numId="22">
    <w:abstractNumId w:val="9"/>
  </w:num>
  <w:num w:numId="23">
    <w:abstractNumId w:val="2"/>
  </w:num>
  <w:num w:numId="24">
    <w:abstractNumId w:val="21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53C"/>
    <w:rsid w:val="0000209F"/>
    <w:rsid w:val="000064C9"/>
    <w:rsid w:val="00045C84"/>
    <w:rsid w:val="0004647A"/>
    <w:rsid w:val="00073D98"/>
    <w:rsid w:val="00084017"/>
    <w:rsid w:val="000A1A6C"/>
    <w:rsid w:val="000E65E4"/>
    <w:rsid w:val="000F2734"/>
    <w:rsid w:val="001469FB"/>
    <w:rsid w:val="001716E8"/>
    <w:rsid w:val="001A0120"/>
    <w:rsid w:val="001D133D"/>
    <w:rsid w:val="001D2467"/>
    <w:rsid w:val="001D4484"/>
    <w:rsid w:val="001E4C33"/>
    <w:rsid w:val="001F60EA"/>
    <w:rsid w:val="00216C89"/>
    <w:rsid w:val="00227FB6"/>
    <w:rsid w:val="00236480"/>
    <w:rsid w:val="002613DD"/>
    <w:rsid w:val="0026376C"/>
    <w:rsid w:val="002A4E5B"/>
    <w:rsid w:val="002C3A0F"/>
    <w:rsid w:val="002E5325"/>
    <w:rsid w:val="002F1037"/>
    <w:rsid w:val="002F6900"/>
    <w:rsid w:val="002F7361"/>
    <w:rsid w:val="003304B9"/>
    <w:rsid w:val="00346C81"/>
    <w:rsid w:val="00351291"/>
    <w:rsid w:val="00353DE7"/>
    <w:rsid w:val="003A1DFD"/>
    <w:rsid w:val="003B11A8"/>
    <w:rsid w:val="003E27CB"/>
    <w:rsid w:val="00453ABB"/>
    <w:rsid w:val="0047541B"/>
    <w:rsid w:val="004834BB"/>
    <w:rsid w:val="00483EE4"/>
    <w:rsid w:val="00494FE7"/>
    <w:rsid w:val="00497D3E"/>
    <w:rsid w:val="004C61D4"/>
    <w:rsid w:val="00506593"/>
    <w:rsid w:val="00515835"/>
    <w:rsid w:val="005468A0"/>
    <w:rsid w:val="00552C68"/>
    <w:rsid w:val="00567369"/>
    <w:rsid w:val="00583F8B"/>
    <w:rsid w:val="0059320F"/>
    <w:rsid w:val="005A7FC9"/>
    <w:rsid w:val="00644AD1"/>
    <w:rsid w:val="00683DB0"/>
    <w:rsid w:val="006A3731"/>
    <w:rsid w:val="006B6063"/>
    <w:rsid w:val="00706165"/>
    <w:rsid w:val="00706F81"/>
    <w:rsid w:val="0072201D"/>
    <w:rsid w:val="00744965"/>
    <w:rsid w:val="00744F3A"/>
    <w:rsid w:val="00762357"/>
    <w:rsid w:val="0076417A"/>
    <w:rsid w:val="007664CB"/>
    <w:rsid w:val="00794663"/>
    <w:rsid w:val="007B1FFF"/>
    <w:rsid w:val="007D76AC"/>
    <w:rsid w:val="007D7A86"/>
    <w:rsid w:val="007F03B8"/>
    <w:rsid w:val="00812788"/>
    <w:rsid w:val="008161FB"/>
    <w:rsid w:val="008210F8"/>
    <w:rsid w:val="008B0287"/>
    <w:rsid w:val="008B3F18"/>
    <w:rsid w:val="008E123B"/>
    <w:rsid w:val="008F4309"/>
    <w:rsid w:val="00916F2A"/>
    <w:rsid w:val="00924ECD"/>
    <w:rsid w:val="009431B5"/>
    <w:rsid w:val="0095197F"/>
    <w:rsid w:val="00965260"/>
    <w:rsid w:val="00971E65"/>
    <w:rsid w:val="009864F9"/>
    <w:rsid w:val="009A3141"/>
    <w:rsid w:val="009B6767"/>
    <w:rsid w:val="009F0F83"/>
    <w:rsid w:val="00A2253E"/>
    <w:rsid w:val="00A40816"/>
    <w:rsid w:val="00A46A35"/>
    <w:rsid w:val="00A52FF9"/>
    <w:rsid w:val="00A741F1"/>
    <w:rsid w:val="00A836CE"/>
    <w:rsid w:val="00A945D8"/>
    <w:rsid w:val="00AB1D80"/>
    <w:rsid w:val="00AD053C"/>
    <w:rsid w:val="00B16EB2"/>
    <w:rsid w:val="00B261DD"/>
    <w:rsid w:val="00B71E8D"/>
    <w:rsid w:val="00BC3213"/>
    <w:rsid w:val="00BD5830"/>
    <w:rsid w:val="00BE0C11"/>
    <w:rsid w:val="00BF7CC0"/>
    <w:rsid w:val="00C5537B"/>
    <w:rsid w:val="00C63029"/>
    <w:rsid w:val="00C762DB"/>
    <w:rsid w:val="00CC1F1C"/>
    <w:rsid w:val="00CD78C2"/>
    <w:rsid w:val="00D20152"/>
    <w:rsid w:val="00D42B11"/>
    <w:rsid w:val="00D51955"/>
    <w:rsid w:val="00D96F47"/>
    <w:rsid w:val="00DD4406"/>
    <w:rsid w:val="00DD7BC7"/>
    <w:rsid w:val="00E12F10"/>
    <w:rsid w:val="00E22D14"/>
    <w:rsid w:val="00E328DC"/>
    <w:rsid w:val="00E36AED"/>
    <w:rsid w:val="00E53B53"/>
    <w:rsid w:val="00E7345C"/>
    <w:rsid w:val="00E91CE3"/>
    <w:rsid w:val="00EA5CA3"/>
    <w:rsid w:val="00EC6E6C"/>
    <w:rsid w:val="00EF26A9"/>
    <w:rsid w:val="00EF3742"/>
    <w:rsid w:val="00EF39E2"/>
    <w:rsid w:val="00EF7D15"/>
    <w:rsid w:val="00F213C3"/>
    <w:rsid w:val="00F33C19"/>
    <w:rsid w:val="00F35292"/>
    <w:rsid w:val="00F44BCB"/>
    <w:rsid w:val="00F57984"/>
    <w:rsid w:val="00F61E39"/>
    <w:rsid w:val="00F67DA0"/>
    <w:rsid w:val="00F7262D"/>
    <w:rsid w:val="00F7307F"/>
    <w:rsid w:val="00F857EF"/>
    <w:rsid w:val="00F9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68A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20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A7FC9"/>
    <w:rPr>
      <w:sz w:val="20"/>
      <w:lang/>
    </w:rPr>
  </w:style>
  <w:style w:type="character" w:customStyle="1" w:styleId="CommentTextChar">
    <w:name w:val="Comment Text Char"/>
    <w:link w:val="CommentText"/>
    <w:uiPriority w:val="99"/>
    <w:rsid w:val="005A7FC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FC9"/>
    <w:rPr>
      <w:rFonts w:ascii="Garamond" w:hAnsi="Garamond"/>
      <w:b/>
      <w:bCs/>
    </w:rPr>
  </w:style>
  <w:style w:type="character" w:customStyle="1" w:styleId="p1">
    <w:name w:val="p1"/>
    <w:rsid w:val="00971E65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unhideWhenUsed/>
    <w:rsid w:val="00F579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9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Ing</cp:lastModifiedBy>
  <cp:revision>3</cp:revision>
  <cp:lastPrinted>2009-06-25T15:10:00Z</cp:lastPrinted>
  <dcterms:created xsi:type="dcterms:W3CDTF">2014-02-24T19:29:00Z</dcterms:created>
  <dcterms:modified xsi:type="dcterms:W3CDTF">2014-02-24T19:30:00Z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